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4802D118"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7778DA">
        <w:rPr>
          <w:rFonts w:ascii="Arial" w:hAnsi="Arial" w:cs="Arial"/>
          <w:b/>
          <w:bCs/>
          <w:sz w:val="28"/>
          <w:lang w:eastAsia="zh-CN"/>
        </w:rPr>
        <w:t>4</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7778DA">
        <w:rPr>
          <w:rFonts w:ascii="Arial" w:hAnsi="Arial" w:cs="Arial"/>
          <w:b/>
          <w:bCs/>
          <w:sz w:val="28"/>
          <w:lang w:eastAsia="zh-CN"/>
        </w:rPr>
        <w:t>1</w:t>
      </w:r>
      <w:r w:rsidR="00806850">
        <w:rPr>
          <w:rFonts w:ascii="Arial" w:hAnsi="Arial" w:cs="Arial"/>
          <w:b/>
          <w:bCs/>
          <w:sz w:val="28"/>
          <w:lang w:eastAsia="zh-CN"/>
        </w:rPr>
        <w:t>0</w:t>
      </w:r>
      <w:r w:rsidR="007778DA">
        <w:rPr>
          <w:rFonts w:ascii="Arial" w:hAnsi="Arial" w:cs="Arial"/>
          <w:b/>
          <w:bCs/>
          <w:sz w:val="28"/>
          <w:lang w:eastAsia="zh-CN"/>
        </w:rPr>
        <w:t>0</w:t>
      </w:r>
      <w:r w:rsidR="008558C3">
        <w:rPr>
          <w:rFonts w:ascii="Arial" w:hAnsi="Arial" w:cs="Arial"/>
          <w:b/>
          <w:bCs/>
          <w:sz w:val="28"/>
          <w:lang w:eastAsia="zh-CN"/>
        </w:rPr>
        <w:t>876</w:t>
      </w:r>
    </w:p>
    <w:p w14:paraId="4B25669D" w14:textId="62326E6B"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7778DA">
        <w:rPr>
          <w:rFonts w:ascii="Arial" w:hAnsi="Arial" w:cs="Arial"/>
          <w:b/>
          <w:bCs/>
          <w:sz w:val="28"/>
          <w:lang w:eastAsia="zh-CN"/>
        </w:rPr>
        <w:t>25 January – 5 February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6E1D92F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8939CE">
        <w:rPr>
          <w:b/>
          <w:kern w:val="2"/>
          <w:sz w:val="24"/>
          <w:lang w:eastAsia="zh-CN"/>
        </w:rPr>
        <w:t>8</w:t>
      </w:r>
      <w:r w:rsidR="00DB5933" w:rsidRPr="008939CE">
        <w:rPr>
          <w:b/>
          <w:kern w:val="2"/>
          <w:sz w:val="24"/>
          <w:lang w:eastAsia="zh-CN"/>
        </w:rPr>
        <w:t>.</w:t>
      </w:r>
      <w:r w:rsidR="00760196" w:rsidRPr="008939CE">
        <w:rPr>
          <w:b/>
          <w:kern w:val="2"/>
          <w:sz w:val="24"/>
          <w:lang w:eastAsia="zh-CN"/>
        </w:rPr>
        <w:t>15.</w:t>
      </w:r>
      <w:r w:rsidR="008558C3" w:rsidRPr="008939CE">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002CFD35"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8558C3">
        <w:rPr>
          <w:b/>
          <w:kern w:val="2"/>
          <w:sz w:val="24"/>
          <w:lang w:eastAsia="zh-CN"/>
        </w:rPr>
        <w:t>Timing relationship</w:t>
      </w:r>
      <w:r w:rsidR="0022105B">
        <w:rPr>
          <w:b/>
          <w:kern w:val="2"/>
          <w:sz w:val="24"/>
          <w:lang w:eastAsia="zh-CN"/>
        </w:rPr>
        <w:t xml:space="preserve"> for IoT-NTN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4CCE52E7" w14:textId="224F3B51" w:rsidR="003E649E" w:rsidRDefault="003E649E" w:rsidP="00D176D9">
      <w:pPr>
        <w:rPr>
          <w:lang w:eastAsia="zh-CN"/>
        </w:rPr>
      </w:pPr>
    </w:p>
    <w:p w14:paraId="3613041D" w14:textId="5748D7B3" w:rsidR="008939CE" w:rsidRDefault="008939CE" w:rsidP="008939CE">
      <w:pPr>
        <w:rPr>
          <w:lang w:eastAsia="zh-CN"/>
        </w:rPr>
      </w:pPr>
      <w:r>
        <w:rPr>
          <w:lang w:eastAsia="zh-CN"/>
        </w:rPr>
        <w:t>In RANP#86, a study item on support of NB-IoT and eMTC over NTN was approved [</w:t>
      </w:r>
      <w:r>
        <w:rPr>
          <w:lang w:eastAsia="zh-CN"/>
        </w:rPr>
        <w:fldChar w:fldCharType="begin"/>
      </w:r>
      <w:r>
        <w:rPr>
          <w:lang w:eastAsia="zh-CN"/>
        </w:rPr>
        <w:instrText xml:space="preserve"> REF _Ref54129494 \w \h </w:instrText>
      </w:r>
      <w:r>
        <w:rPr>
          <w:lang w:eastAsia="zh-CN"/>
        </w:rPr>
      </w:r>
      <w:r>
        <w:rPr>
          <w:lang w:eastAsia="zh-CN"/>
        </w:rPr>
        <w:fldChar w:fldCharType="separate"/>
      </w:r>
      <w:r w:rsidR="00902934">
        <w:rPr>
          <w:lang w:eastAsia="zh-CN"/>
        </w:rPr>
        <w:t>1</w:t>
      </w:r>
      <w:r>
        <w:rPr>
          <w:lang w:eastAsia="zh-CN"/>
        </w:rPr>
        <w:fldChar w:fldCharType="end"/>
      </w:r>
      <w:r>
        <w:rPr>
          <w:lang w:eastAsia="zh-CN"/>
        </w:rPr>
        <w:t>], with the following objectives related to necessary specification changes for NB-IoT and eMTC:</w:t>
      </w:r>
    </w:p>
    <w:p w14:paraId="12919033" w14:textId="77777777" w:rsidR="008939CE" w:rsidRPr="00760196" w:rsidRDefault="008939CE" w:rsidP="008939CE">
      <w:pPr>
        <w:rPr>
          <w:color w:val="0070C0"/>
          <w:sz w:val="20"/>
          <w:szCs w:val="20"/>
        </w:rPr>
      </w:pPr>
      <w:r w:rsidRPr="00760196">
        <w:rPr>
          <w:color w:val="0070C0"/>
        </w:rPr>
        <w:t xml:space="preserve">This Study will evaluate and confirm solutions to address the minimum necessary specifications for NB-IoT and eMTC according to the following objectives. </w:t>
      </w:r>
    </w:p>
    <w:p w14:paraId="7555A8D3" w14:textId="77777777" w:rsidR="008939CE" w:rsidRPr="00182527" w:rsidRDefault="008939CE" w:rsidP="008939CE">
      <w:pPr>
        <w:rPr>
          <w:color w:val="0070C0"/>
        </w:rPr>
      </w:pPr>
      <w:r w:rsidRPr="00182527">
        <w:rPr>
          <w:color w:val="0070C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723A9E9C" w14:textId="77777777" w:rsidR="008939CE" w:rsidRPr="00182527" w:rsidRDefault="008939CE" w:rsidP="008939CE">
      <w:pPr>
        <w:pStyle w:val="B1"/>
        <w:rPr>
          <w:color w:val="0070C0"/>
        </w:rPr>
      </w:pPr>
      <w:r w:rsidRPr="00182527">
        <w:rPr>
          <w:color w:val="0070C0"/>
        </w:rPr>
        <w:t>-</w:t>
      </w:r>
      <w:r w:rsidRPr="00182527">
        <w:rPr>
          <w:color w:val="0070C0"/>
        </w:rPr>
        <w:tab/>
        <w:t>Aspects related to random access procedure/signals [RAN1, RAN2]</w:t>
      </w:r>
    </w:p>
    <w:p w14:paraId="4DE3BF88" w14:textId="77777777" w:rsidR="008939CE" w:rsidRPr="00182527" w:rsidRDefault="008939CE" w:rsidP="008939CE">
      <w:pPr>
        <w:pStyle w:val="B1"/>
        <w:rPr>
          <w:color w:val="0070C0"/>
        </w:rPr>
      </w:pPr>
      <w:r w:rsidRPr="00182527">
        <w:rPr>
          <w:color w:val="0070C0"/>
        </w:rPr>
        <w:t>-</w:t>
      </w:r>
      <w:r w:rsidRPr="00182527">
        <w:rPr>
          <w:color w:val="0070C0"/>
        </w:rPr>
        <w:tab/>
        <w:t>Mechanisms for time/frequency adjustment including Timing Advance, and UL frequency compensation indication [RAN1, RAN2]</w:t>
      </w:r>
    </w:p>
    <w:p w14:paraId="35379DCC" w14:textId="77777777" w:rsidR="008939CE" w:rsidRPr="00182527" w:rsidRDefault="008939CE" w:rsidP="008939CE">
      <w:pPr>
        <w:pStyle w:val="B1"/>
        <w:rPr>
          <w:color w:val="0070C0"/>
        </w:rPr>
      </w:pPr>
      <w:r w:rsidRPr="00182527">
        <w:rPr>
          <w:color w:val="0070C0"/>
        </w:rPr>
        <w:t>-</w:t>
      </w:r>
      <w:r w:rsidRPr="00182527">
        <w:rPr>
          <w:color w:val="0070C0"/>
        </w:rPr>
        <w:tab/>
        <w:t>Timing offset related to scheduling and HARQ-ACK feedback [RAN1, RAN2]</w:t>
      </w:r>
    </w:p>
    <w:p w14:paraId="31AD6956" w14:textId="77777777" w:rsidR="008939CE" w:rsidRPr="00182527" w:rsidRDefault="008939CE" w:rsidP="008939CE">
      <w:pPr>
        <w:pStyle w:val="B1"/>
        <w:rPr>
          <w:color w:val="0070C0"/>
        </w:rPr>
      </w:pPr>
      <w:r w:rsidRPr="00182527">
        <w:rPr>
          <w:color w:val="0070C0"/>
        </w:rPr>
        <w:t>-    Aspects related to HARQ operation [RAN2, RAN1]</w:t>
      </w:r>
    </w:p>
    <w:p w14:paraId="64AED3FE" w14:textId="77777777" w:rsidR="008939CE" w:rsidRPr="00182527" w:rsidRDefault="008939CE" w:rsidP="008939CE">
      <w:pPr>
        <w:pStyle w:val="B1"/>
        <w:rPr>
          <w:color w:val="0070C0"/>
        </w:rPr>
      </w:pPr>
      <w:r w:rsidRPr="00182527">
        <w:rPr>
          <w:color w:val="0070C0"/>
        </w:rPr>
        <w:t>-</w:t>
      </w:r>
      <w:r w:rsidRPr="00182527">
        <w:rPr>
          <w:color w:val="0070C0"/>
        </w:rPr>
        <w:tab/>
        <w:t>General aspects related to timers (e.g. SR, DRX, etc.) [RAN2]</w:t>
      </w:r>
    </w:p>
    <w:p w14:paraId="2207A99E" w14:textId="77777777" w:rsidR="008939CE" w:rsidRPr="00182527" w:rsidRDefault="008939CE" w:rsidP="008939CE">
      <w:pPr>
        <w:pStyle w:val="B1"/>
        <w:rPr>
          <w:color w:val="0070C0"/>
        </w:rPr>
      </w:pPr>
      <w:r w:rsidRPr="00182527">
        <w:rPr>
          <w:color w:val="0070C0"/>
        </w:rPr>
        <w:t>-</w:t>
      </w:r>
      <w:r w:rsidRPr="00182527">
        <w:rPr>
          <w:color w:val="0070C0"/>
        </w:rPr>
        <w:tab/>
        <w:t>RAN2 aspects related to idle mode and connected mode mobility [RAN2]</w:t>
      </w:r>
    </w:p>
    <w:p w14:paraId="1B02CCEC" w14:textId="77777777" w:rsidR="008939CE" w:rsidRPr="00182527" w:rsidRDefault="008939CE" w:rsidP="008939CE">
      <w:pPr>
        <w:pStyle w:val="B2"/>
        <w:rPr>
          <w:color w:val="0070C0"/>
        </w:rPr>
      </w:pPr>
      <w:r w:rsidRPr="00182527">
        <w:rPr>
          <w:color w:val="0070C0"/>
        </w:rPr>
        <w:t>-</w:t>
      </w:r>
      <w:r w:rsidRPr="00182527">
        <w:rPr>
          <w:color w:val="0070C0"/>
        </w:rPr>
        <w:tab/>
        <w:t>RLF-based for NB-IoT</w:t>
      </w:r>
    </w:p>
    <w:p w14:paraId="557C27E4" w14:textId="77777777" w:rsidR="008939CE" w:rsidRPr="00182527" w:rsidRDefault="008939CE" w:rsidP="008939CE">
      <w:pPr>
        <w:pStyle w:val="B2"/>
        <w:rPr>
          <w:color w:val="0070C0"/>
        </w:rPr>
      </w:pPr>
      <w:r w:rsidRPr="00182527">
        <w:rPr>
          <w:color w:val="0070C0"/>
        </w:rPr>
        <w:t>-</w:t>
      </w:r>
      <w:r w:rsidRPr="00182527">
        <w:rPr>
          <w:color w:val="0070C0"/>
        </w:rPr>
        <w:tab/>
        <w:t>Handover-based for eMTC</w:t>
      </w:r>
    </w:p>
    <w:p w14:paraId="17132B79" w14:textId="77777777" w:rsidR="008939CE" w:rsidRPr="00182527" w:rsidRDefault="008939CE" w:rsidP="008939CE">
      <w:pPr>
        <w:pStyle w:val="B1"/>
        <w:rPr>
          <w:color w:val="0070C0"/>
        </w:rPr>
      </w:pPr>
      <w:r w:rsidRPr="00182527">
        <w:rPr>
          <w:color w:val="0070C0"/>
        </w:rPr>
        <w:t>-</w:t>
      </w:r>
      <w:r w:rsidRPr="00182527">
        <w:rPr>
          <w:color w:val="0070C0"/>
        </w:rPr>
        <w:tab/>
        <w:t>System information enhancements [RAN2]</w:t>
      </w:r>
    </w:p>
    <w:p w14:paraId="55778C09" w14:textId="77777777" w:rsidR="008939CE" w:rsidRPr="00182527" w:rsidRDefault="008939CE" w:rsidP="008939CE">
      <w:pPr>
        <w:pStyle w:val="B1"/>
        <w:rPr>
          <w:color w:val="0070C0"/>
        </w:rPr>
      </w:pPr>
      <w:r w:rsidRPr="00182527">
        <w:rPr>
          <w:color w:val="0070C0"/>
        </w:rPr>
        <w:t>-</w:t>
      </w:r>
      <w:r w:rsidRPr="00182527">
        <w:rPr>
          <w:color w:val="0070C0"/>
        </w:rPr>
        <w:tab/>
        <w:t>Tracking area enhancements [RAN2]</w:t>
      </w:r>
    </w:p>
    <w:p w14:paraId="66440F42" w14:textId="77777777" w:rsidR="008939CE" w:rsidRPr="00C04A93" w:rsidRDefault="008939CE" w:rsidP="008939CE">
      <w:pPr>
        <w:pStyle w:val="NO"/>
        <w:rPr>
          <w:color w:val="0070C0"/>
        </w:rPr>
      </w:pPr>
      <w:r w:rsidRPr="00C04A93">
        <w:rPr>
          <w:color w:val="0070C0"/>
        </w:rPr>
        <w:t xml:space="preserve">NOTE 3: </w:t>
      </w:r>
      <w:r w:rsidRPr="00C04A93">
        <w:rPr>
          <w:color w:val="0070C0"/>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0EDCE9A5" w14:textId="4C6D240D" w:rsidR="008939CE" w:rsidRDefault="008939CE" w:rsidP="008939CE">
      <w:pPr>
        <w:rPr>
          <w:lang w:val="en-GB" w:eastAsia="zh-CN"/>
        </w:rPr>
      </w:pPr>
      <w:r>
        <w:rPr>
          <w:lang w:val="en-GB" w:eastAsia="zh-CN"/>
        </w:rPr>
        <w:t>This document considers timing relationships for eMTC over NTN.</w:t>
      </w:r>
      <w:r w:rsidR="00465BE5">
        <w:rPr>
          <w:lang w:val="en-GB" w:eastAsia="zh-CN"/>
        </w:rPr>
        <w:t xml:space="preserve"> The following timing relationships are considered:</w:t>
      </w:r>
    </w:p>
    <w:p w14:paraId="120CE06A" w14:textId="17C0F5B9" w:rsidR="00465BE5" w:rsidRPr="00465BE5" w:rsidRDefault="00465BE5" w:rsidP="00F72FDA">
      <w:pPr>
        <w:pStyle w:val="ListParagraph"/>
        <w:numPr>
          <w:ilvl w:val="0"/>
          <w:numId w:val="7"/>
        </w:numPr>
        <w:rPr>
          <w:rFonts w:ascii="Times New Roman" w:hAnsi="Times New Roman" w:cs="Times New Roman"/>
          <w:lang w:val="en-GB"/>
        </w:rPr>
      </w:pPr>
      <w:r w:rsidRPr="00465BE5">
        <w:rPr>
          <w:rFonts w:ascii="Times New Roman" w:hAnsi="Times New Roman" w:cs="Times New Roman"/>
          <w:lang w:val="en-GB"/>
        </w:rPr>
        <w:t>MPDCCH to PDSCH</w:t>
      </w:r>
    </w:p>
    <w:p w14:paraId="609F6DD5" w14:textId="125CB54B" w:rsidR="00465BE5" w:rsidRPr="00465BE5" w:rsidRDefault="00465BE5" w:rsidP="00F72FDA">
      <w:pPr>
        <w:pStyle w:val="ListParagraph"/>
        <w:numPr>
          <w:ilvl w:val="0"/>
          <w:numId w:val="7"/>
        </w:numPr>
        <w:rPr>
          <w:rFonts w:ascii="Times New Roman" w:hAnsi="Times New Roman" w:cs="Times New Roman"/>
          <w:lang w:val="en-GB"/>
        </w:rPr>
      </w:pPr>
      <w:r w:rsidRPr="00465BE5">
        <w:rPr>
          <w:rFonts w:ascii="Times New Roman" w:hAnsi="Times New Roman" w:cs="Times New Roman"/>
          <w:lang w:val="en-GB"/>
        </w:rPr>
        <w:t>PDSCH to PUCCH</w:t>
      </w:r>
    </w:p>
    <w:p w14:paraId="09A3C954" w14:textId="62519F0D" w:rsidR="00465BE5" w:rsidRDefault="00465BE5" w:rsidP="00F72FDA">
      <w:pPr>
        <w:pStyle w:val="ListParagraph"/>
        <w:numPr>
          <w:ilvl w:val="0"/>
          <w:numId w:val="7"/>
        </w:numPr>
        <w:rPr>
          <w:rFonts w:ascii="Times New Roman" w:hAnsi="Times New Roman" w:cs="Times New Roman"/>
          <w:lang w:val="en-GB"/>
        </w:rPr>
      </w:pPr>
      <w:r w:rsidRPr="00465BE5">
        <w:rPr>
          <w:rFonts w:ascii="Times New Roman" w:hAnsi="Times New Roman" w:cs="Times New Roman"/>
          <w:lang w:val="en-GB"/>
        </w:rPr>
        <w:t>MPDCCH to PUSCH</w:t>
      </w:r>
    </w:p>
    <w:p w14:paraId="704FA4B0" w14:textId="1268B592" w:rsidR="009C757A" w:rsidRDefault="009C757A" w:rsidP="00F72FDA">
      <w:pPr>
        <w:pStyle w:val="ListParagraph"/>
        <w:numPr>
          <w:ilvl w:val="0"/>
          <w:numId w:val="7"/>
        </w:numPr>
        <w:rPr>
          <w:rFonts w:ascii="Times New Roman" w:hAnsi="Times New Roman" w:cs="Times New Roman"/>
          <w:lang w:val="en-GB"/>
        </w:rPr>
      </w:pPr>
      <w:r>
        <w:rPr>
          <w:rFonts w:ascii="Times New Roman" w:hAnsi="Times New Roman" w:cs="Times New Roman"/>
          <w:lang w:val="en-GB"/>
        </w:rPr>
        <w:t>PDSCH to PUCCH when the UE does not have a valid GNSS measurement</w:t>
      </w:r>
    </w:p>
    <w:p w14:paraId="0AE3F7C0" w14:textId="33ECCF90" w:rsidR="00465BE5" w:rsidRDefault="00465BE5" w:rsidP="00465BE5">
      <w:pPr>
        <w:spacing w:after="240"/>
        <w:rPr>
          <w:lang w:val="en-GB"/>
        </w:rPr>
      </w:pPr>
    </w:p>
    <w:p w14:paraId="1EE3A5F3" w14:textId="67FD2EFB" w:rsidR="00465BE5" w:rsidRPr="00465BE5" w:rsidRDefault="00465BE5" w:rsidP="00465BE5">
      <w:pPr>
        <w:spacing w:after="240"/>
        <w:rPr>
          <w:lang w:val="en-GB"/>
        </w:rPr>
      </w:pPr>
      <w:r>
        <w:rPr>
          <w:lang w:val="en-GB"/>
        </w:rPr>
        <w:t>Note that while examples in this Tdoc mainly refer to eMTC, the issues and techniques considered are equally applicable to NB-IoT.</w:t>
      </w:r>
    </w:p>
    <w:p w14:paraId="20703285" w14:textId="6F23281B" w:rsidR="00A51933" w:rsidRDefault="00A51933" w:rsidP="00D176D9">
      <w:pPr>
        <w:rPr>
          <w:lang w:val="en-GB" w:eastAsia="zh-CN"/>
        </w:rPr>
      </w:pPr>
    </w:p>
    <w:p w14:paraId="0565BD38" w14:textId="30A905E2" w:rsidR="00A51933" w:rsidRPr="00094F43" w:rsidRDefault="00465BE5" w:rsidP="00A51933">
      <w:pPr>
        <w:pStyle w:val="Heading1"/>
        <w:spacing w:after="80"/>
        <w:jc w:val="left"/>
        <w:rPr>
          <w:sz w:val="24"/>
          <w:lang w:eastAsia="zh-CN"/>
        </w:rPr>
      </w:pPr>
      <w:r>
        <w:rPr>
          <w:sz w:val="24"/>
          <w:lang w:eastAsia="zh-CN"/>
        </w:rPr>
        <w:t>Timing Advance</w:t>
      </w:r>
    </w:p>
    <w:p w14:paraId="466BEDD0" w14:textId="16310DE3" w:rsidR="008939CE" w:rsidRDefault="00465BE5" w:rsidP="008939CE">
      <w:pPr>
        <w:rPr>
          <w:lang w:eastAsia="zh-CN"/>
        </w:rPr>
      </w:pPr>
      <w:r>
        <w:rPr>
          <w:lang w:eastAsia="zh-CN"/>
        </w:rPr>
        <w:t>Timing advance serves two main purposes:</w:t>
      </w:r>
    </w:p>
    <w:p w14:paraId="407CB64B" w14:textId="77777777" w:rsidR="00465BE5" w:rsidRDefault="00465BE5" w:rsidP="00F72FDA">
      <w:pPr>
        <w:pStyle w:val="ListParagraph"/>
        <w:numPr>
          <w:ilvl w:val="0"/>
          <w:numId w:val="7"/>
        </w:numPr>
        <w:rPr>
          <w:rFonts w:ascii="Times New Roman" w:hAnsi="Times New Roman" w:cs="Times New Roman"/>
          <w:lang w:val="en-GB"/>
        </w:rPr>
      </w:pPr>
      <w:r>
        <w:rPr>
          <w:rFonts w:ascii="Times New Roman" w:hAnsi="Times New Roman" w:cs="Times New Roman"/>
          <w:lang w:val="en-GB"/>
        </w:rPr>
        <w:t>Ensures that UL signals arrive within the cyclic prefix to reduce intersymbol interference</w:t>
      </w:r>
    </w:p>
    <w:p w14:paraId="6F0FD71F" w14:textId="77777777" w:rsidR="00465BE5" w:rsidRDefault="00465BE5" w:rsidP="00F72FDA">
      <w:pPr>
        <w:pStyle w:val="ListParagraph"/>
        <w:numPr>
          <w:ilvl w:val="0"/>
          <w:numId w:val="7"/>
        </w:numPr>
        <w:rPr>
          <w:rFonts w:ascii="Times New Roman" w:hAnsi="Times New Roman" w:cs="Times New Roman"/>
          <w:lang w:val="en-GB"/>
        </w:rPr>
      </w:pPr>
      <w:r>
        <w:rPr>
          <w:rFonts w:ascii="Times New Roman" w:hAnsi="Times New Roman" w:cs="Times New Roman"/>
          <w:lang w:val="en-GB"/>
        </w:rPr>
        <w:t>Simplify eNB scheduling by maintaining the timing relationships between physical channels</w:t>
      </w:r>
    </w:p>
    <w:p w14:paraId="4260E8D9" w14:textId="12AF6DB1" w:rsidR="00465BE5" w:rsidRPr="00465BE5" w:rsidRDefault="00465BE5" w:rsidP="00465BE5">
      <w:pPr>
        <w:rPr>
          <w:lang w:val="en-GB"/>
        </w:rPr>
      </w:pPr>
      <w:r w:rsidRPr="00465BE5">
        <w:rPr>
          <w:lang w:val="en-GB"/>
        </w:rPr>
        <w:t xml:space="preserve"> </w:t>
      </w:r>
    </w:p>
    <w:p w14:paraId="73A7CD06" w14:textId="33B45E3C" w:rsidR="007778DA" w:rsidRDefault="00465BE5" w:rsidP="00A51933">
      <w:pPr>
        <w:rPr>
          <w:bCs/>
        </w:rPr>
      </w:pPr>
      <w:r>
        <w:rPr>
          <w:bCs/>
        </w:rPr>
        <w:t xml:space="preserve">Timing advance needs to account for the propagation delay between the eNB and the UE. Large propagation delays are possible in IoT-NTN due to the large propagation distances between the UE and satellite and between the satellite and eNodeB. </w:t>
      </w:r>
      <w:r w:rsidR="00AB4D79">
        <w:rPr>
          <w:bCs/>
        </w:rPr>
        <w:t xml:space="preserve">A further source of propagation delay arises due to the large cell radius / beam footprint that is supported in NTN deployments. </w:t>
      </w:r>
      <w:r>
        <w:rPr>
          <w:bCs/>
        </w:rPr>
        <w:t xml:space="preserve">Typical </w:t>
      </w:r>
      <w:r w:rsidR="00AB4D79">
        <w:rPr>
          <w:bCs/>
        </w:rPr>
        <w:t xml:space="preserve">maximum </w:t>
      </w:r>
      <w:r>
        <w:rPr>
          <w:bCs/>
        </w:rPr>
        <w:t xml:space="preserve">expected round trip times for different IoT-NTN constellation scenarios were agreed in RAN1#103e and are captured in </w:t>
      </w:r>
      <w:r w:rsidR="00AB4D79">
        <w:rPr>
          <w:bCs/>
        </w:rPr>
        <w:fldChar w:fldCharType="begin"/>
      </w:r>
      <w:r w:rsidR="00AB4D79">
        <w:rPr>
          <w:bCs/>
        </w:rPr>
        <w:instrText xml:space="preserve"> REF _Ref61908741 \h </w:instrText>
      </w:r>
      <w:r w:rsidR="00AB4D79">
        <w:rPr>
          <w:bCs/>
        </w:rPr>
      </w:r>
      <w:r w:rsidR="00AB4D79">
        <w:rPr>
          <w:bCs/>
        </w:rPr>
        <w:fldChar w:fldCharType="separate"/>
      </w:r>
      <w:r w:rsidR="00902934">
        <w:t xml:space="preserve">Table </w:t>
      </w:r>
      <w:r w:rsidR="00902934">
        <w:rPr>
          <w:noProof/>
        </w:rPr>
        <w:t>1</w:t>
      </w:r>
      <w:r w:rsidR="00AB4D79">
        <w:rPr>
          <w:bCs/>
        </w:rPr>
        <w:fldChar w:fldCharType="end"/>
      </w:r>
      <w:r>
        <w:rPr>
          <w:bCs/>
        </w:rPr>
        <w:t>.</w:t>
      </w:r>
    </w:p>
    <w:p w14:paraId="0106D69D" w14:textId="3E24D3BF" w:rsidR="00AB4D79" w:rsidRDefault="00AB4D79" w:rsidP="00AB4D79">
      <w:pPr>
        <w:pStyle w:val="Caption"/>
        <w:rPr>
          <w:bCs w:val="0"/>
        </w:rPr>
      </w:pPr>
      <w:bookmarkStart w:id="1" w:name="_Ref61908741"/>
      <w:r>
        <w:t xml:space="preserve">Table </w:t>
      </w:r>
      <w:r w:rsidR="006D76F2">
        <w:fldChar w:fldCharType="begin"/>
      </w:r>
      <w:r w:rsidR="006D76F2">
        <w:instrText xml:space="preserve"> SEQ Table \* ARABIC </w:instrText>
      </w:r>
      <w:r w:rsidR="006D76F2">
        <w:fldChar w:fldCharType="separate"/>
      </w:r>
      <w:r w:rsidR="00902934">
        <w:rPr>
          <w:noProof/>
        </w:rPr>
        <w:t>1</w:t>
      </w:r>
      <w:r w:rsidR="006D76F2">
        <w:rPr>
          <w:noProof/>
        </w:rPr>
        <w:fldChar w:fldCharType="end"/>
      </w:r>
      <w:bookmarkEnd w:id="1"/>
      <w:r>
        <w:t xml:space="preserve"> – Maximum round trip delays for IoT-NTN constellations</w:t>
      </w:r>
    </w:p>
    <w:tbl>
      <w:tblPr>
        <w:tblStyle w:val="TableGrid"/>
        <w:tblW w:w="0" w:type="auto"/>
        <w:tblInd w:w="2263" w:type="dxa"/>
        <w:tblLook w:val="04A0" w:firstRow="1" w:lastRow="0" w:firstColumn="1" w:lastColumn="0" w:noHBand="0" w:noVBand="1"/>
      </w:tblPr>
      <w:tblGrid>
        <w:gridCol w:w="2390"/>
        <w:gridCol w:w="2288"/>
      </w:tblGrid>
      <w:tr w:rsidR="00465BE5" w14:paraId="68B78C24" w14:textId="77777777" w:rsidTr="00AB4D79">
        <w:tc>
          <w:tcPr>
            <w:tcW w:w="2390" w:type="dxa"/>
            <w:shd w:val="clear" w:color="auto" w:fill="D9D9D9" w:themeFill="background1" w:themeFillShade="D9"/>
          </w:tcPr>
          <w:p w14:paraId="4C92224B" w14:textId="13A2F72D" w:rsidR="00465BE5" w:rsidRPr="00AB4D79" w:rsidRDefault="00465BE5" w:rsidP="00A51933">
            <w:pPr>
              <w:rPr>
                <w:b/>
              </w:rPr>
            </w:pPr>
            <w:r w:rsidRPr="00AB4D79">
              <w:rPr>
                <w:b/>
              </w:rPr>
              <w:t>Scenario</w:t>
            </w:r>
          </w:p>
        </w:tc>
        <w:tc>
          <w:tcPr>
            <w:tcW w:w="2288" w:type="dxa"/>
            <w:shd w:val="clear" w:color="auto" w:fill="D9D9D9" w:themeFill="background1" w:themeFillShade="D9"/>
          </w:tcPr>
          <w:p w14:paraId="1D3A82C5" w14:textId="7B65D384" w:rsidR="00465BE5" w:rsidRPr="00AB4D79" w:rsidRDefault="00465BE5" w:rsidP="00A51933">
            <w:pPr>
              <w:rPr>
                <w:b/>
              </w:rPr>
            </w:pPr>
            <w:r w:rsidRPr="00AB4D79">
              <w:rPr>
                <w:b/>
              </w:rPr>
              <w:t>RTT</w:t>
            </w:r>
          </w:p>
        </w:tc>
      </w:tr>
      <w:tr w:rsidR="00465BE5" w14:paraId="5A9106BE" w14:textId="77777777" w:rsidTr="00AB4D79">
        <w:tc>
          <w:tcPr>
            <w:tcW w:w="2390" w:type="dxa"/>
          </w:tcPr>
          <w:p w14:paraId="64883358" w14:textId="7EF2A33E" w:rsidR="00465BE5" w:rsidRDefault="00465BE5" w:rsidP="00A51933">
            <w:pPr>
              <w:rPr>
                <w:bCs/>
              </w:rPr>
            </w:pPr>
            <w:r>
              <w:rPr>
                <w:bCs/>
              </w:rPr>
              <w:t>GEO</w:t>
            </w:r>
          </w:p>
        </w:tc>
        <w:tc>
          <w:tcPr>
            <w:tcW w:w="2288" w:type="dxa"/>
          </w:tcPr>
          <w:p w14:paraId="582690E2" w14:textId="277886AB" w:rsidR="00465BE5" w:rsidRDefault="00AB4D79" w:rsidP="00A51933">
            <w:pPr>
              <w:rPr>
                <w:bCs/>
              </w:rPr>
            </w:pPr>
            <w:r>
              <w:rPr>
                <w:bCs/>
              </w:rPr>
              <w:t>541.46ms</w:t>
            </w:r>
          </w:p>
        </w:tc>
      </w:tr>
      <w:tr w:rsidR="00465BE5" w14:paraId="0C14A811" w14:textId="77777777" w:rsidTr="00AB4D79">
        <w:tc>
          <w:tcPr>
            <w:tcW w:w="2390" w:type="dxa"/>
          </w:tcPr>
          <w:p w14:paraId="08BC7C4C" w14:textId="311F68E8" w:rsidR="00465BE5" w:rsidRDefault="00465BE5" w:rsidP="00A51933">
            <w:pPr>
              <w:rPr>
                <w:bCs/>
              </w:rPr>
            </w:pPr>
            <w:r>
              <w:rPr>
                <w:bCs/>
              </w:rPr>
              <w:t>LEO-600</w:t>
            </w:r>
          </w:p>
        </w:tc>
        <w:tc>
          <w:tcPr>
            <w:tcW w:w="2288" w:type="dxa"/>
          </w:tcPr>
          <w:p w14:paraId="41F917D9" w14:textId="3BB1F48C" w:rsidR="00465BE5" w:rsidRDefault="00AB4D79" w:rsidP="00A51933">
            <w:pPr>
              <w:rPr>
                <w:bCs/>
              </w:rPr>
            </w:pPr>
            <w:r>
              <w:rPr>
                <w:bCs/>
              </w:rPr>
              <w:t>25.77ms</w:t>
            </w:r>
          </w:p>
        </w:tc>
      </w:tr>
      <w:tr w:rsidR="00465BE5" w14:paraId="55599C4F" w14:textId="77777777" w:rsidTr="00AB4D79">
        <w:tc>
          <w:tcPr>
            <w:tcW w:w="2390" w:type="dxa"/>
          </w:tcPr>
          <w:p w14:paraId="0F804B8D" w14:textId="1102888A" w:rsidR="00465BE5" w:rsidRDefault="00465BE5" w:rsidP="00A51933">
            <w:pPr>
              <w:rPr>
                <w:bCs/>
              </w:rPr>
            </w:pPr>
            <w:r>
              <w:rPr>
                <w:bCs/>
              </w:rPr>
              <w:t>LEO-1200</w:t>
            </w:r>
          </w:p>
        </w:tc>
        <w:tc>
          <w:tcPr>
            <w:tcW w:w="2288" w:type="dxa"/>
          </w:tcPr>
          <w:p w14:paraId="47DF1C9D" w14:textId="26DC56E2" w:rsidR="00465BE5" w:rsidRDefault="00AB4D79" w:rsidP="00A51933">
            <w:pPr>
              <w:rPr>
                <w:bCs/>
              </w:rPr>
            </w:pPr>
            <w:r>
              <w:rPr>
                <w:bCs/>
              </w:rPr>
              <w:t>41.77ms</w:t>
            </w:r>
          </w:p>
        </w:tc>
      </w:tr>
    </w:tbl>
    <w:p w14:paraId="46CB1ACB" w14:textId="77777777" w:rsidR="00465BE5" w:rsidRDefault="00465BE5" w:rsidP="00A51933">
      <w:pPr>
        <w:rPr>
          <w:bCs/>
        </w:rPr>
      </w:pPr>
    </w:p>
    <w:p w14:paraId="20150A6D" w14:textId="5C8F4A19" w:rsidR="007778DA" w:rsidRDefault="00FF17E6" w:rsidP="00A51933">
      <w:pPr>
        <w:rPr>
          <w:bCs/>
        </w:rPr>
      </w:pPr>
      <w:r>
        <w:rPr>
          <w:bCs/>
        </w:rPr>
        <w:fldChar w:fldCharType="begin"/>
      </w:r>
      <w:r>
        <w:rPr>
          <w:bCs/>
        </w:rPr>
        <w:instrText xml:space="preserve"> REF _Ref61910754 \h </w:instrText>
      </w:r>
      <w:r>
        <w:rPr>
          <w:bCs/>
        </w:rPr>
      </w:r>
      <w:r>
        <w:rPr>
          <w:bCs/>
        </w:rPr>
        <w:fldChar w:fldCharType="separate"/>
      </w:r>
      <w:r w:rsidR="00902934">
        <w:t xml:space="preserve">Figure </w:t>
      </w:r>
      <w:r w:rsidR="00902934">
        <w:rPr>
          <w:noProof/>
        </w:rPr>
        <w:t>1</w:t>
      </w:r>
      <w:r>
        <w:rPr>
          <w:bCs/>
        </w:rPr>
        <w:fldChar w:fldCharType="end"/>
      </w:r>
      <w:r>
        <w:rPr>
          <w:bCs/>
        </w:rPr>
        <w:t xml:space="preserve"> illustrates the principle of timing advance in E-UTRA (i.e. in eMTC and NB-IoT). The UE needs to timing advance its UL transmissions by twice the propagation delay, </w:t>
      </w:r>
      <w:r w:rsidRPr="00FF17E6">
        <w:rPr>
          <w:bCs/>
          <w:i/>
          <w:iCs/>
        </w:rPr>
        <w:t>T</w:t>
      </w:r>
      <w:r w:rsidRPr="00FF17E6">
        <w:rPr>
          <w:bCs/>
          <w:i/>
          <w:iCs/>
          <w:vertAlign w:val="subscript"/>
        </w:rPr>
        <w:t>prop</w:t>
      </w:r>
      <w:r>
        <w:rPr>
          <w:bCs/>
        </w:rPr>
        <w:t>, in order to ensure that the UE’s transmissions are aligned with the eNB’s timing. In a “normal” terrestrial cell, the timing advance values are quite small, leading to a compression in the timing between the DL and associated UL transmissions, where this timing compression can be handled within the processing capability of the UE.</w:t>
      </w:r>
    </w:p>
    <w:p w14:paraId="46E786C0" w14:textId="3B295755" w:rsidR="00FF17E6" w:rsidRDefault="00FF17E6" w:rsidP="00A51933">
      <w:pPr>
        <w:rPr>
          <w:bCs/>
        </w:rPr>
      </w:pPr>
    </w:p>
    <w:p w14:paraId="3C081AB7" w14:textId="22E51BDD" w:rsidR="00FF17E6" w:rsidRDefault="00FF17E6" w:rsidP="00A51933">
      <w:pPr>
        <w:rPr>
          <w:bCs/>
        </w:rPr>
      </w:pPr>
      <w:r>
        <w:rPr>
          <w:bCs/>
          <w:noProof/>
        </w:rPr>
        <w:drawing>
          <wp:inline distT="0" distB="0" distL="0" distR="0" wp14:anchorId="4F23A7B6" wp14:editId="20A54888">
            <wp:extent cx="5861685" cy="2352683"/>
            <wp:effectExtent l="0" t="0" r="571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87298" cy="2362963"/>
                    </a:xfrm>
                    <a:prstGeom prst="rect">
                      <a:avLst/>
                    </a:prstGeom>
                    <a:noFill/>
                  </pic:spPr>
                </pic:pic>
              </a:graphicData>
            </a:graphic>
          </wp:inline>
        </w:drawing>
      </w:r>
    </w:p>
    <w:p w14:paraId="418B1F95" w14:textId="2B219B1C" w:rsidR="00FF17E6" w:rsidRDefault="00FF17E6" w:rsidP="00FF17E6">
      <w:pPr>
        <w:pStyle w:val="Caption"/>
      </w:pPr>
      <w:bookmarkStart w:id="2" w:name="_Ref61910754"/>
      <w:r>
        <w:t xml:space="preserve">Figure </w:t>
      </w:r>
      <w:r w:rsidR="006D76F2">
        <w:fldChar w:fldCharType="begin"/>
      </w:r>
      <w:r w:rsidR="006D76F2">
        <w:instrText xml:space="preserve"> SEQ Figure \* ARABIC </w:instrText>
      </w:r>
      <w:r w:rsidR="006D76F2">
        <w:fldChar w:fldCharType="separate"/>
      </w:r>
      <w:r w:rsidR="00E361F2">
        <w:rPr>
          <w:noProof/>
        </w:rPr>
        <w:t>1</w:t>
      </w:r>
      <w:r w:rsidR="006D76F2">
        <w:rPr>
          <w:noProof/>
        </w:rPr>
        <w:fldChar w:fldCharType="end"/>
      </w:r>
      <w:bookmarkEnd w:id="2"/>
      <w:r>
        <w:t xml:space="preserve"> </w:t>
      </w:r>
      <w:r w:rsidRPr="00553800">
        <w:t>– Timing advance in E-UTRA</w:t>
      </w:r>
    </w:p>
    <w:p w14:paraId="6F5828C1" w14:textId="711BEFFE" w:rsidR="00FF17E6" w:rsidRDefault="00A27422" w:rsidP="00FF17E6">
      <w:r>
        <w:fldChar w:fldCharType="begin"/>
      </w:r>
      <w:r>
        <w:instrText xml:space="preserve"> REF _Ref61911714 \h </w:instrText>
      </w:r>
      <w:r>
        <w:fldChar w:fldCharType="separate"/>
      </w:r>
      <w:r w:rsidR="00902934">
        <w:t xml:space="preserve">Figure </w:t>
      </w:r>
      <w:r w:rsidR="00902934">
        <w:rPr>
          <w:noProof/>
        </w:rPr>
        <w:t>2</w:t>
      </w:r>
      <w:r>
        <w:fldChar w:fldCharType="end"/>
      </w:r>
      <w:r>
        <w:t xml:space="preserve"> illustrates the problem with straightforwardly (and incorrectly) applying timing advance to very large cells. In this figure, in order to maintain the timing at the eNB, the UE’s transmission has to be timing advanced a long way forward. In the example shown, the UE’s transmissions are timing advanced to the extent that the PUCCH response to a PDSCH transmission has to be sent by the UE before the UE receives the PDSCH. This is clearly impossible.</w:t>
      </w:r>
    </w:p>
    <w:p w14:paraId="0BBC3D85" w14:textId="6B2CF802" w:rsidR="00FF17E6" w:rsidRDefault="00F30574" w:rsidP="00FF17E6">
      <w:r>
        <w:rPr>
          <w:noProof/>
        </w:rPr>
        <w:lastRenderedPageBreak/>
        <w:drawing>
          <wp:inline distT="0" distB="0" distL="0" distR="0" wp14:anchorId="189BC9E6" wp14:editId="7CD93BDA">
            <wp:extent cx="5854065" cy="22552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2540" cy="2266225"/>
                    </a:xfrm>
                    <a:prstGeom prst="rect">
                      <a:avLst/>
                    </a:prstGeom>
                    <a:noFill/>
                  </pic:spPr>
                </pic:pic>
              </a:graphicData>
            </a:graphic>
          </wp:inline>
        </w:drawing>
      </w:r>
    </w:p>
    <w:p w14:paraId="26076340" w14:textId="2DC1D0E4" w:rsidR="00FF17E6" w:rsidRDefault="00FF17E6" w:rsidP="00FF17E6">
      <w:pPr>
        <w:pStyle w:val="Caption"/>
      </w:pPr>
      <w:bookmarkStart w:id="3" w:name="_Ref61911714"/>
      <w:r>
        <w:t xml:space="preserve">Figure </w:t>
      </w:r>
      <w:r w:rsidR="006D76F2">
        <w:fldChar w:fldCharType="begin"/>
      </w:r>
      <w:r w:rsidR="006D76F2">
        <w:instrText xml:space="preserve"> SEQ Figure \* ARABIC </w:instrText>
      </w:r>
      <w:r w:rsidR="006D76F2">
        <w:fldChar w:fldCharType="separate"/>
      </w:r>
      <w:r w:rsidR="00E361F2">
        <w:rPr>
          <w:noProof/>
        </w:rPr>
        <w:t>2</w:t>
      </w:r>
      <w:r w:rsidR="006D76F2">
        <w:rPr>
          <w:noProof/>
        </w:rPr>
        <w:fldChar w:fldCharType="end"/>
      </w:r>
      <w:bookmarkEnd w:id="3"/>
      <w:r>
        <w:t xml:space="preserve"> - Timing advance </w:t>
      </w:r>
      <w:r w:rsidR="00A27422">
        <w:t>incorrectly applied to</w:t>
      </w:r>
      <w:r>
        <w:t xml:space="preserve"> very large cells</w:t>
      </w:r>
    </w:p>
    <w:p w14:paraId="6DC9B8B3" w14:textId="6EBF8C82" w:rsidR="00A27422" w:rsidRDefault="00A27422" w:rsidP="00A27422"/>
    <w:p w14:paraId="457E3D34" w14:textId="5B1B0D97" w:rsidR="00A27422" w:rsidRDefault="00A27422" w:rsidP="00A27422">
      <w:r>
        <w:t xml:space="preserve">The solution to the problem illustrated in </w:t>
      </w:r>
      <w:r>
        <w:fldChar w:fldCharType="begin"/>
      </w:r>
      <w:r>
        <w:instrText xml:space="preserve"> REF _Ref61911714 \h </w:instrText>
      </w:r>
      <w:r>
        <w:fldChar w:fldCharType="separate"/>
      </w:r>
      <w:r w:rsidR="00902934">
        <w:t xml:space="preserve">Figure </w:t>
      </w:r>
      <w:r w:rsidR="00902934">
        <w:rPr>
          <w:noProof/>
        </w:rPr>
        <w:t>2</w:t>
      </w:r>
      <w:r>
        <w:fldChar w:fldCharType="end"/>
      </w:r>
      <w:r>
        <w:t xml:space="preserve"> is to </w:t>
      </w:r>
      <w:r w:rsidR="00F30574">
        <w:t>extend the timing relationship between physical channel</w:t>
      </w:r>
      <w:r w:rsidR="009C757A">
        <w:t>s</w:t>
      </w:r>
      <w:r w:rsidR="00F30574">
        <w:t xml:space="preserve"> by an amount </w:t>
      </w:r>
      <w:r w:rsidR="00F30574" w:rsidRPr="00F30574">
        <w:rPr>
          <w:i/>
          <w:iCs/>
        </w:rPr>
        <w:t>K</w:t>
      </w:r>
      <w:r w:rsidR="00F30574" w:rsidRPr="00F30574">
        <w:rPr>
          <w:i/>
          <w:iCs/>
          <w:vertAlign w:val="subscript"/>
        </w:rPr>
        <w:t>offset</w:t>
      </w:r>
      <w:r w:rsidR="00F30574">
        <w:t xml:space="preserve">, as shown in </w:t>
      </w:r>
      <w:r w:rsidR="00F30574">
        <w:fldChar w:fldCharType="begin"/>
      </w:r>
      <w:r w:rsidR="00F30574">
        <w:instrText xml:space="preserve"> REF _Ref61913488 \h </w:instrText>
      </w:r>
      <w:r w:rsidR="00F30574">
        <w:fldChar w:fldCharType="separate"/>
      </w:r>
      <w:r w:rsidR="00902934">
        <w:t xml:space="preserve">Figure </w:t>
      </w:r>
      <w:r w:rsidR="00902934">
        <w:rPr>
          <w:noProof/>
        </w:rPr>
        <w:t>3</w:t>
      </w:r>
      <w:r w:rsidR="00F30574">
        <w:fldChar w:fldCharType="end"/>
      </w:r>
      <w:r w:rsidR="00F30574">
        <w:t xml:space="preserve">. The figure shows the timing relationship between PDSCH and PUCCH and that, in this case, a </w:t>
      </w:r>
      <w:r w:rsidR="00F30574" w:rsidRPr="00F30574">
        <w:rPr>
          <w:i/>
          <w:iCs/>
        </w:rPr>
        <w:t>K</w:t>
      </w:r>
      <w:r w:rsidR="00F30574" w:rsidRPr="00F30574">
        <w:rPr>
          <w:i/>
          <w:iCs/>
          <w:vertAlign w:val="subscript"/>
        </w:rPr>
        <w:t>offset</w:t>
      </w:r>
      <w:r w:rsidR="00F30574">
        <w:t xml:space="preserve"> value of 6 is applied, meaning that PUCCH is transmitted by the UE 6 subframes later than in the legacy case and is received by the eNB 6 subframes later </w:t>
      </w:r>
      <w:r w:rsidR="009C757A">
        <w:t>than</w:t>
      </w:r>
      <w:r w:rsidR="00F30574">
        <w:t xml:space="preserve"> the legacy case. The </w:t>
      </w:r>
      <w:r w:rsidR="00F30574" w:rsidRPr="00F30574">
        <w:rPr>
          <w:i/>
          <w:iCs/>
        </w:rPr>
        <w:t>K</w:t>
      </w:r>
      <w:r w:rsidR="00F30574" w:rsidRPr="00F30574">
        <w:rPr>
          <w:i/>
          <w:iCs/>
          <w:vertAlign w:val="subscript"/>
        </w:rPr>
        <w:t>offset</w:t>
      </w:r>
      <w:r w:rsidR="00F30574">
        <w:t xml:space="preserve"> value should be chosen to allow for a reasonable processing time at the UE (or eNB) between physical channels. The </w:t>
      </w:r>
      <w:r w:rsidR="00F30574" w:rsidRPr="00F30574">
        <w:rPr>
          <w:i/>
          <w:iCs/>
        </w:rPr>
        <w:t>K</w:t>
      </w:r>
      <w:r w:rsidR="00F30574" w:rsidRPr="00F30574">
        <w:rPr>
          <w:i/>
          <w:iCs/>
          <w:vertAlign w:val="subscript"/>
        </w:rPr>
        <w:t>offset</w:t>
      </w:r>
      <w:r w:rsidR="00F30574">
        <w:t xml:space="preserve"> value will change the timing between physical channels at the eNB, but the change in timing can be accounted for by scheduler implementation. </w:t>
      </w:r>
    </w:p>
    <w:p w14:paraId="300DD764" w14:textId="14900C17" w:rsidR="00F30574" w:rsidRDefault="00F30574" w:rsidP="00A27422">
      <w:r>
        <w:rPr>
          <w:noProof/>
        </w:rPr>
        <w:drawing>
          <wp:inline distT="0" distB="0" distL="0" distR="0" wp14:anchorId="7156147F" wp14:editId="42B7F177">
            <wp:extent cx="5953125" cy="2147328"/>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5617" cy="2159048"/>
                    </a:xfrm>
                    <a:prstGeom prst="rect">
                      <a:avLst/>
                    </a:prstGeom>
                    <a:noFill/>
                  </pic:spPr>
                </pic:pic>
              </a:graphicData>
            </a:graphic>
          </wp:inline>
        </w:drawing>
      </w:r>
    </w:p>
    <w:p w14:paraId="424DDDEE" w14:textId="48D86B7E" w:rsidR="00F30574" w:rsidRPr="00A27422" w:rsidRDefault="00F30574" w:rsidP="00F30574">
      <w:pPr>
        <w:pStyle w:val="Caption"/>
      </w:pPr>
      <w:bookmarkStart w:id="4" w:name="_Ref61913488"/>
      <w:r>
        <w:t xml:space="preserve">Figure </w:t>
      </w:r>
      <w:r w:rsidR="006D76F2">
        <w:fldChar w:fldCharType="begin"/>
      </w:r>
      <w:r w:rsidR="006D76F2">
        <w:instrText xml:space="preserve"> SEQ Figure \* ARABIC </w:instrText>
      </w:r>
      <w:r w:rsidR="006D76F2">
        <w:fldChar w:fldCharType="separate"/>
      </w:r>
      <w:r w:rsidR="00E361F2">
        <w:rPr>
          <w:noProof/>
        </w:rPr>
        <w:t>3</w:t>
      </w:r>
      <w:r w:rsidR="006D76F2">
        <w:rPr>
          <w:noProof/>
        </w:rPr>
        <w:fldChar w:fldCharType="end"/>
      </w:r>
      <w:bookmarkEnd w:id="4"/>
      <w:r>
        <w:t xml:space="preserve"> - Timing between physical channel extended by an amount </w:t>
      </w:r>
      <w:r w:rsidRPr="00F30574">
        <w:rPr>
          <w:i/>
          <w:iCs/>
        </w:rPr>
        <w:t>K</w:t>
      </w:r>
      <w:r w:rsidRPr="00F30574">
        <w:rPr>
          <w:i/>
          <w:iCs/>
          <w:vertAlign w:val="subscript"/>
        </w:rPr>
        <w:t>offset</w:t>
      </w:r>
      <w:r>
        <w:t xml:space="preserve"> to account for very large cells</w:t>
      </w:r>
    </w:p>
    <w:p w14:paraId="76CF71E8" w14:textId="25B7448A" w:rsidR="00FF17E6" w:rsidRDefault="00FF17E6" w:rsidP="00A51933">
      <w:pPr>
        <w:rPr>
          <w:bCs/>
        </w:rPr>
      </w:pPr>
    </w:p>
    <w:p w14:paraId="02CD219A" w14:textId="56335298" w:rsidR="00F30574" w:rsidRPr="00FC2014" w:rsidRDefault="00F30574" w:rsidP="00A51933">
      <w:pPr>
        <w:rPr>
          <w:b/>
        </w:rPr>
      </w:pPr>
      <w:r w:rsidRPr="00FC2014">
        <w:rPr>
          <w:b/>
        </w:rPr>
        <w:t xml:space="preserve">Proposal </w:t>
      </w:r>
      <w:r w:rsidR="009C757A">
        <w:rPr>
          <w:b/>
        </w:rPr>
        <w:t>1:</w:t>
      </w:r>
      <w:r w:rsidRPr="00FC2014">
        <w:rPr>
          <w:b/>
        </w:rPr>
        <w:t xml:space="preserve"> </w:t>
      </w:r>
      <w:r w:rsidR="00FC2014" w:rsidRPr="00FC2014">
        <w:rPr>
          <w:b/>
        </w:rPr>
        <w:t xml:space="preserve">The timing relationship between certain physical channels is extended by </w:t>
      </w:r>
      <w:r w:rsidR="00FC2014" w:rsidRPr="00FC2014">
        <w:rPr>
          <w:b/>
          <w:i/>
          <w:iCs/>
        </w:rPr>
        <w:t>K</w:t>
      </w:r>
      <w:r w:rsidR="00FC2014" w:rsidRPr="00FC2014">
        <w:rPr>
          <w:b/>
          <w:i/>
          <w:iCs/>
          <w:vertAlign w:val="subscript"/>
        </w:rPr>
        <w:t>offset</w:t>
      </w:r>
      <w:r w:rsidR="00FC2014" w:rsidRPr="00FC2014">
        <w:rPr>
          <w:b/>
        </w:rPr>
        <w:t xml:space="preserve"> subframes in order to enable operation in IoT-NTN cells with large propagation delays.</w:t>
      </w:r>
    </w:p>
    <w:p w14:paraId="5B7A53E4" w14:textId="7A17E380" w:rsidR="00F30574" w:rsidRDefault="00FC2014" w:rsidP="00A51933">
      <w:pPr>
        <w:rPr>
          <w:bCs/>
        </w:rPr>
      </w:pPr>
      <w:r>
        <w:rPr>
          <w:bCs/>
        </w:rPr>
        <w:t xml:space="preserve">The </w:t>
      </w:r>
      <w:r w:rsidRPr="00FC2014">
        <w:rPr>
          <w:bCs/>
          <w:i/>
          <w:iCs/>
        </w:rPr>
        <w:t>K</w:t>
      </w:r>
      <w:r w:rsidRPr="00FC2014">
        <w:rPr>
          <w:bCs/>
          <w:i/>
          <w:iCs/>
          <w:vertAlign w:val="subscript"/>
        </w:rPr>
        <w:t>offset</w:t>
      </w:r>
      <w:r>
        <w:rPr>
          <w:bCs/>
        </w:rPr>
        <w:t xml:space="preserve"> value can either be explicitly signaled by the eNB to the UE or the UE can </w:t>
      </w:r>
      <w:r w:rsidR="007B25DD">
        <w:rPr>
          <w:bCs/>
        </w:rPr>
        <w:t>implicitly determine</w:t>
      </w:r>
      <w:bookmarkStart w:id="5" w:name="_GoBack"/>
      <w:bookmarkEnd w:id="5"/>
      <w:r>
        <w:rPr>
          <w:bCs/>
        </w:rPr>
        <w:t xml:space="preserve"> the </w:t>
      </w:r>
      <w:r w:rsidRPr="009C757A">
        <w:rPr>
          <w:bCs/>
          <w:i/>
          <w:iCs/>
        </w:rPr>
        <w:t>K</w:t>
      </w:r>
      <w:r w:rsidRPr="009C757A">
        <w:rPr>
          <w:bCs/>
          <w:i/>
          <w:iCs/>
          <w:vertAlign w:val="subscript"/>
        </w:rPr>
        <w:t>offset</w:t>
      </w:r>
      <w:r>
        <w:rPr>
          <w:bCs/>
        </w:rPr>
        <w:t xml:space="preserve"> to apply based on knowledge of propagation delays or common timing offsets applied in the cell</w:t>
      </w:r>
      <w:r w:rsidR="007B25DD">
        <w:rPr>
          <w:bCs/>
        </w:rPr>
        <w:t xml:space="preserve"> if broadcasted by the eNB</w:t>
      </w:r>
      <w:r>
        <w:rPr>
          <w:bCs/>
        </w:rPr>
        <w:t>.</w:t>
      </w:r>
    </w:p>
    <w:p w14:paraId="33F772B3" w14:textId="7CD163FF" w:rsidR="00FC2014" w:rsidRDefault="00FC2014" w:rsidP="00FC2014">
      <w:pPr>
        <w:rPr>
          <w:b/>
        </w:rPr>
      </w:pPr>
      <w:r w:rsidRPr="00FC2014">
        <w:rPr>
          <w:b/>
        </w:rPr>
        <w:t xml:space="preserve">Proposal </w:t>
      </w:r>
      <w:r w:rsidR="009C757A">
        <w:rPr>
          <w:b/>
        </w:rPr>
        <w:t>2:</w:t>
      </w:r>
      <w:r w:rsidRPr="00FC2014">
        <w:rPr>
          <w:b/>
        </w:rPr>
        <w:t xml:space="preserve"> </w:t>
      </w:r>
      <w:r>
        <w:rPr>
          <w:b/>
        </w:rPr>
        <w:t xml:space="preserve">RAN1 selects between the following options for determining </w:t>
      </w:r>
      <w:r w:rsidRPr="009C757A">
        <w:rPr>
          <w:b/>
          <w:i/>
          <w:iCs/>
        </w:rPr>
        <w:t>K</w:t>
      </w:r>
      <w:r w:rsidRPr="009C757A">
        <w:rPr>
          <w:b/>
          <w:i/>
          <w:iCs/>
          <w:vertAlign w:val="subscript"/>
        </w:rPr>
        <w:t>offset</w:t>
      </w:r>
      <w:r>
        <w:rPr>
          <w:b/>
        </w:rPr>
        <w:t>:</w:t>
      </w:r>
    </w:p>
    <w:p w14:paraId="08C300C7" w14:textId="77777777" w:rsidR="00FC2014" w:rsidRPr="009C757A" w:rsidRDefault="00FC2014" w:rsidP="00F72FDA">
      <w:pPr>
        <w:pStyle w:val="ListParagraph"/>
        <w:numPr>
          <w:ilvl w:val="0"/>
          <w:numId w:val="8"/>
        </w:numPr>
        <w:rPr>
          <w:rFonts w:ascii="Times New Roman" w:hAnsi="Times New Roman" w:cs="Times New Roman"/>
          <w:b/>
        </w:rPr>
      </w:pPr>
      <w:r w:rsidRPr="009C757A">
        <w:rPr>
          <w:rFonts w:ascii="Times New Roman" w:hAnsi="Times New Roman" w:cs="Times New Roman"/>
          <w:b/>
          <w:i/>
          <w:iCs/>
        </w:rPr>
        <w:t>K</w:t>
      </w:r>
      <w:r w:rsidRPr="009C757A">
        <w:rPr>
          <w:rFonts w:ascii="Times New Roman" w:hAnsi="Times New Roman" w:cs="Times New Roman"/>
          <w:b/>
          <w:i/>
          <w:iCs/>
          <w:vertAlign w:val="subscript"/>
        </w:rPr>
        <w:t>offset</w:t>
      </w:r>
      <w:r w:rsidRPr="009C757A">
        <w:rPr>
          <w:rFonts w:ascii="Times New Roman" w:hAnsi="Times New Roman" w:cs="Times New Roman"/>
          <w:b/>
        </w:rPr>
        <w:t xml:space="preserve"> is explicitly signaled to the UE</w:t>
      </w:r>
    </w:p>
    <w:p w14:paraId="6362A611" w14:textId="40B0BD3A" w:rsidR="00FC2014" w:rsidRPr="009C757A" w:rsidRDefault="007B25DD" w:rsidP="00F72FDA">
      <w:pPr>
        <w:pStyle w:val="ListParagraph"/>
        <w:numPr>
          <w:ilvl w:val="0"/>
          <w:numId w:val="8"/>
        </w:numPr>
        <w:rPr>
          <w:rFonts w:ascii="Times New Roman" w:hAnsi="Times New Roman" w:cs="Times New Roman"/>
          <w:b/>
        </w:rPr>
      </w:pPr>
      <w:r w:rsidRPr="007B25DD">
        <w:rPr>
          <w:rFonts w:ascii="Times New Roman" w:hAnsi="Times New Roman" w:cs="Times New Roman"/>
          <w:b/>
        </w:rPr>
        <w:t xml:space="preserve">UE implicitly determines </w:t>
      </w:r>
      <w:r w:rsidRPr="007B25DD">
        <w:rPr>
          <w:rFonts w:ascii="Times New Roman" w:hAnsi="Times New Roman" w:cs="Times New Roman"/>
          <w:b/>
          <w:i/>
          <w:iCs/>
        </w:rPr>
        <w:t>K</w:t>
      </w:r>
      <w:r w:rsidRPr="007B25DD">
        <w:rPr>
          <w:rFonts w:ascii="Times New Roman" w:hAnsi="Times New Roman" w:cs="Times New Roman"/>
          <w:b/>
          <w:i/>
          <w:iCs/>
          <w:vertAlign w:val="subscript"/>
        </w:rPr>
        <w:t>offset</w:t>
      </w:r>
      <w:r w:rsidRPr="007B25DD">
        <w:rPr>
          <w:rFonts w:ascii="Times New Roman" w:hAnsi="Times New Roman" w:cs="Times New Roman"/>
          <w:b/>
        </w:rPr>
        <w:t xml:space="preserve"> value based on other cell parameters, such as a common timing offset if broadcasted by the eNB</w:t>
      </w:r>
    </w:p>
    <w:p w14:paraId="17BCCFB0" w14:textId="77777777" w:rsidR="00FC2014" w:rsidRDefault="00FC2014" w:rsidP="00A51933">
      <w:pPr>
        <w:rPr>
          <w:bCs/>
        </w:rPr>
      </w:pPr>
    </w:p>
    <w:p w14:paraId="70D89650" w14:textId="54700291" w:rsidR="004A15C0" w:rsidRPr="00094F43" w:rsidRDefault="00465BE5" w:rsidP="004A15C0">
      <w:pPr>
        <w:pStyle w:val="Heading1"/>
        <w:spacing w:after="80"/>
        <w:jc w:val="left"/>
        <w:rPr>
          <w:sz w:val="24"/>
          <w:lang w:eastAsia="zh-CN"/>
        </w:rPr>
      </w:pPr>
      <w:r>
        <w:rPr>
          <w:sz w:val="24"/>
          <w:lang w:eastAsia="zh-CN"/>
        </w:rPr>
        <w:lastRenderedPageBreak/>
        <w:t>MPDCCH to PDSCH timing relationship</w:t>
      </w:r>
    </w:p>
    <w:p w14:paraId="5211AA89" w14:textId="46C0A416" w:rsidR="002850D0" w:rsidRDefault="002722E3" w:rsidP="002850D0">
      <w:pPr>
        <w:rPr>
          <w:bCs/>
        </w:rPr>
      </w:pPr>
      <w:r>
        <w:rPr>
          <w:bCs/>
        </w:rPr>
        <w:t xml:space="preserve">The MPDCCH to PDSCH timing relationship is purely a downlink to downlink timing relationship. Hence, a </w:t>
      </w:r>
      <w:r w:rsidRPr="0031115D">
        <w:rPr>
          <w:bCs/>
          <w:i/>
          <w:iCs/>
        </w:rPr>
        <w:t>K</w:t>
      </w:r>
      <w:r w:rsidRPr="0031115D">
        <w:rPr>
          <w:bCs/>
          <w:i/>
          <w:iCs/>
          <w:vertAlign w:val="subscript"/>
        </w:rPr>
        <w:t>offset</w:t>
      </w:r>
      <w:r>
        <w:rPr>
          <w:bCs/>
        </w:rPr>
        <w:t xml:space="preserve"> value does not need to be applied to this timing relationship and the legacy Rel-16 timing relationship used for terrestrial eMTC / NB-IoT applies.</w:t>
      </w:r>
    </w:p>
    <w:p w14:paraId="7669D58F" w14:textId="32327B4F" w:rsidR="002722E3" w:rsidRPr="00FC2014" w:rsidRDefault="002722E3" w:rsidP="002722E3">
      <w:pPr>
        <w:rPr>
          <w:b/>
        </w:rPr>
      </w:pPr>
      <w:r w:rsidRPr="00FC2014">
        <w:rPr>
          <w:b/>
        </w:rPr>
        <w:t xml:space="preserve">Proposal </w:t>
      </w:r>
      <w:r w:rsidR="009C757A">
        <w:rPr>
          <w:b/>
        </w:rPr>
        <w:t>3:</w:t>
      </w:r>
      <w:r w:rsidRPr="00FC2014">
        <w:rPr>
          <w:b/>
        </w:rPr>
        <w:t xml:space="preserve"> </w:t>
      </w:r>
      <w:r>
        <w:rPr>
          <w:b/>
        </w:rPr>
        <w:t xml:space="preserve">The legacy Rel-16 timing relationship </w:t>
      </w:r>
      <w:r w:rsidR="000A6CE3">
        <w:rPr>
          <w:b/>
        </w:rPr>
        <w:t>is applied between MPDCCH and PDSCH</w:t>
      </w:r>
      <w:r w:rsidRPr="00FC2014">
        <w:rPr>
          <w:b/>
        </w:rPr>
        <w:t>.</w:t>
      </w:r>
    </w:p>
    <w:p w14:paraId="6763B09D" w14:textId="77777777" w:rsidR="002722E3" w:rsidRDefault="002722E3" w:rsidP="002850D0">
      <w:pPr>
        <w:rPr>
          <w:bCs/>
        </w:rPr>
      </w:pPr>
    </w:p>
    <w:p w14:paraId="0AB724C6" w14:textId="3BD8C2EB" w:rsidR="00465BE5" w:rsidRPr="00094F43" w:rsidRDefault="00465BE5" w:rsidP="00465BE5">
      <w:pPr>
        <w:pStyle w:val="Heading1"/>
        <w:spacing w:after="80"/>
        <w:jc w:val="left"/>
        <w:rPr>
          <w:sz w:val="24"/>
          <w:lang w:eastAsia="zh-CN"/>
        </w:rPr>
      </w:pPr>
      <w:r>
        <w:rPr>
          <w:sz w:val="24"/>
          <w:lang w:eastAsia="zh-CN"/>
        </w:rPr>
        <w:t>MPDCCH to PUSCH timing relationship</w:t>
      </w:r>
    </w:p>
    <w:p w14:paraId="2F0A8863" w14:textId="1CFDEED6" w:rsidR="00465BE5" w:rsidRDefault="000A6CE3" w:rsidP="00465BE5">
      <w:pPr>
        <w:rPr>
          <w:bCs/>
        </w:rPr>
      </w:pPr>
      <w:r>
        <w:rPr>
          <w:bCs/>
        </w:rPr>
        <w:t xml:space="preserve">The MPDCCH to PUSCH timing relationship is a downlink to uplink timing relationship and a </w:t>
      </w:r>
      <w:r w:rsidRPr="0031115D">
        <w:rPr>
          <w:bCs/>
          <w:i/>
          <w:iCs/>
        </w:rPr>
        <w:t>K</w:t>
      </w:r>
      <w:r w:rsidRPr="0031115D">
        <w:rPr>
          <w:bCs/>
          <w:i/>
          <w:iCs/>
          <w:vertAlign w:val="subscript"/>
        </w:rPr>
        <w:t>offset</w:t>
      </w:r>
      <w:r>
        <w:rPr>
          <w:bCs/>
        </w:rPr>
        <w:t xml:space="preserve"> value needs to be applied to the MPDCCH to PUSCH timing relationship.</w:t>
      </w:r>
    </w:p>
    <w:p w14:paraId="0D12433A" w14:textId="692FA1D7" w:rsidR="000A6CE3" w:rsidRDefault="000A6CE3" w:rsidP="000A6CE3">
      <w:pPr>
        <w:rPr>
          <w:b/>
        </w:rPr>
      </w:pPr>
      <w:r w:rsidRPr="00FC2014">
        <w:rPr>
          <w:b/>
        </w:rPr>
        <w:t xml:space="preserve">Proposal </w:t>
      </w:r>
      <w:r w:rsidR="009C757A">
        <w:rPr>
          <w:b/>
        </w:rPr>
        <w:t>4:</w:t>
      </w:r>
      <w:r w:rsidRPr="00FC2014">
        <w:rPr>
          <w:b/>
        </w:rPr>
        <w:t xml:space="preserve"> </w:t>
      </w:r>
      <w:r>
        <w:rPr>
          <w:b/>
        </w:rPr>
        <w:t xml:space="preserve">The MPDCCH to PUSCH timing relationship is extended by </w:t>
      </w:r>
      <w:r w:rsidRPr="000A6CE3">
        <w:rPr>
          <w:b/>
          <w:i/>
          <w:iCs/>
        </w:rPr>
        <w:t>K</w:t>
      </w:r>
      <w:r w:rsidRPr="000A6CE3">
        <w:rPr>
          <w:b/>
          <w:i/>
          <w:iCs/>
          <w:vertAlign w:val="subscript"/>
        </w:rPr>
        <w:t>offset</w:t>
      </w:r>
      <w:r>
        <w:rPr>
          <w:b/>
        </w:rPr>
        <w:t xml:space="preserve"> subframes</w:t>
      </w:r>
      <w:r w:rsidRPr="00FC2014">
        <w:rPr>
          <w:b/>
        </w:rPr>
        <w:t>.</w:t>
      </w:r>
    </w:p>
    <w:p w14:paraId="4D223335" w14:textId="143A0834" w:rsidR="00134DB8" w:rsidRDefault="00134DB8" w:rsidP="000A6CE3">
      <w:pPr>
        <w:rPr>
          <w:bCs/>
        </w:rPr>
      </w:pPr>
      <w:r>
        <w:rPr>
          <w:bCs/>
        </w:rPr>
        <w:t xml:space="preserve">Note that a </w:t>
      </w:r>
      <w:r w:rsidRPr="009C757A">
        <w:rPr>
          <w:bCs/>
          <w:i/>
          <w:iCs/>
        </w:rPr>
        <w:t>K</w:t>
      </w:r>
      <w:r w:rsidRPr="009C757A">
        <w:rPr>
          <w:bCs/>
          <w:i/>
          <w:iCs/>
          <w:vertAlign w:val="subscript"/>
        </w:rPr>
        <w:t>offset</w:t>
      </w:r>
      <w:r>
        <w:rPr>
          <w:bCs/>
        </w:rPr>
        <w:t xml:space="preserve"> value should also apply to the time between a RAR and a PUSCH allocated by the RAR.</w:t>
      </w:r>
    </w:p>
    <w:p w14:paraId="115971FC" w14:textId="096E8E9E" w:rsidR="00134DB8" w:rsidRPr="00134DB8" w:rsidRDefault="00134DB8" w:rsidP="000A6CE3">
      <w:pPr>
        <w:rPr>
          <w:b/>
        </w:rPr>
      </w:pPr>
      <w:r w:rsidRPr="00FC2014">
        <w:rPr>
          <w:b/>
        </w:rPr>
        <w:t xml:space="preserve">Proposal </w:t>
      </w:r>
      <w:r w:rsidR="009C757A">
        <w:rPr>
          <w:b/>
        </w:rPr>
        <w:t>5:</w:t>
      </w:r>
      <w:r w:rsidRPr="00FC2014">
        <w:rPr>
          <w:b/>
        </w:rPr>
        <w:t xml:space="preserve"> </w:t>
      </w:r>
      <w:r>
        <w:rPr>
          <w:b/>
        </w:rPr>
        <w:t xml:space="preserve">The RAR to PUSCH timing relationship is extended by </w:t>
      </w:r>
      <w:r w:rsidRPr="000A6CE3">
        <w:rPr>
          <w:b/>
          <w:i/>
          <w:iCs/>
        </w:rPr>
        <w:t>K</w:t>
      </w:r>
      <w:r w:rsidRPr="000A6CE3">
        <w:rPr>
          <w:b/>
          <w:i/>
          <w:iCs/>
          <w:vertAlign w:val="subscript"/>
        </w:rPr>
        <w:t>offset</w:t>
      </w:r>
      <w:r>
        <w:rPr>
          <w:b/>
        </w:rPr>
        <w:t xml:space="preserve"> subframes</w:t>
      </w:r>
      <w:r w:rsidRPr="00FC2014">
        <w:rPr>
          <w:b/>
        </w:rPr>
        <w:t>.</w:t>
      </w:r>
    </w:p>
    <w:p w14:paraId="05C46305" w14:textId="7693508C" w:rsidR="0031115D" w:rsidRPr="0031115D" w:rsidRDefault="0031115D" w:rsidP="000A6CE3">
      <w:pPr>
        <w:rPr>
          <w:bCs/>
        </w:rPr>
      </w:pPr>
      <w:r>
        <w:rPr>
          <w:bCs/>
        </w:rPr>
        <w:t xml:space="preserve">The timing relationship between MPDCCH and PUSCH when </w:t>
      </w:r>
      <w:r w:rsidRPr="0031115D">
        <w:rPr>
          <w:bCs/>
          <w:i/>
          <w:iCs/>
        </w:rPr>
        <w:t>K</w:t>
      </w:r>
      <w:r w:rsidRPr="0031115D">
        <w:rPr>
          <w:bCs/>
          <w:i/>
          <w:iCs/>
          <w:vertAlign w:val="subscript"/>
        </w:rPr>
        <w:t>offset</w:t>
      </w:r>
      <w:r>
        <w:rPr>
          <w:bCs/>
        </w:rPr>
        <w:t xml:space="preserve"> is applied is shown in </w:t>
      </w:r>
      <w:r>
        <w:rPr>
          <w:bCs/>
        </w:rPr>
        <w:fldChar w:fldCharType="begin"/>
      </w:r>
      <w:r>
        <w:rPr>
          <w:bCs/>
        </w:rPr>
        <w:instrText xml:space="preserve"> REF _Ref61916551 \h </w:instrText>
      </w:r>
      <w:r>
        <w:rPr>
          <w:bCs/>
        </w:rPr>
      </w:r>
      <w:r>
        <w:rPr>
          <w:bCs/>
        </w:rPr>
        <w:fldChar w:fldCharType="separate"/>
      </w:r>
      <w:r w:rsidR="00902934">
        <w:t xml:space="preserve">Figure </w:t>
      </w:r>
      <w:r w:rsidR="00902934">
        <w:rPr>
          <w:noProof/>
        </w:rPr>
        <w:t>4</w:t>
      </w:r>
      <w:r>
        <w:rPr>
          <w:bCs/>
        </w:rPr>
        <w:fldChar w:fldCharType="end"/>
      </w:r>
      <w:r>
        <w:rPr>
          <w:bCs/>
        </w:rPr>
        <w:t xml:space="preserve">. Note: for the sake of simplicity and clarity, the figure shows a smaller </w:t>
      </w:r>
      <w:r w:rsidRPr="0031115D">
        <w:rPr>
          <w:bCs/>
          <w:i/>
          <w:iCs/>
        </w:rPr>
        <w:t>K</w:t>
      </w:r>
      <w:r w:rsidRPr="0031115D">
        <w:rPr>
          <w:bCs/>
          <w:i/>
          <w:iCs/>
          <w:vertAlign w:val="subscript"/>
        </w:rPr>
        <w:t>offset</w:t>
      </w:r>
      <w:r>
        <w:rPr>
          <w:bCs/>
        </w:rPr>
        <w:t xml:space="preserve"> value than would be applied in a deployed IoT-NTN system</w:t>
      </w:r>
      <w:r w:rsidR="00134DB8">
        <w:rPr>
          <w:bCs/>
        </w:rPr>
        <w:t>.</w:t>
      </w:r>
    </w:p>
    <w:p w14:paraId="54C0469B" w14:textId="514829DA" w:rsidR="000A6CE3" w:rsidRDefault="0031115D" w:rsidP="00465BE5">
      <w:pPr>
        <w:rPr>
          <w:bCs/>
        </w:rPr>
      </w:pPr>
      <w:r>
        <w:rPr>
          <w:bCs/>
          <w:noProof/>
        </w:rPr>
        <w:drawing>
          <wp:inline distT="0" distB="0" distL="0" distR="0" wp14:anchorId="3975F443" wp14:editId="75A836B8">
            <wp:extent cx="5800725" cy="23639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36107" cy="2378337"/>
                    </a:xfrm>
                    <a:prstGeom prst="rect">
                      <a:avLst/>
                    </a:prstGeom>
                    <a:noFill/>
                  </pic:spPr>
                </pic:pic>
              </a:graphicData>
            </a:graphic>
          </wp:inline>
        </w:drawing>
      </w:r>
    </w:p>
    <w:p w14:paraId="587A7785" w14:textId="51CC1480" w:rsidR="0031115D" w:rsidRDefault="0031115D" w:rsidP="0031115D">
      <w:pPr>
        <w:pStyle w:val="Caption"/>
        <w:rPr>
          <w:bCs w:val="0"/>
        </w:rPr>
      </w:pPr>
      <w:bookmarkStart w:id="6" w:name="_Ref61916551"/>
      <w:r>
        <w:t xml:space="preserve">Figure </w:t>
      </w:r>
      <w:r w:rsidR="006D76F2">
        <w:fldChar w:fldCharType="begin"/>
      </w:r>
      <w:r w:rsidR="006D76F2">
        <w:instrText xml:space="preserve"> SEQ Figure \* ARABIC </w:instrText>
      </w:r>
      <w:r w:rsidR="006D76F2">
        <w:fldChar w:fldCharType="separate"/>
      </w:r>
      <w:r w:rsidR="00E361F2">
        <w:rPr>
          <w:noProof/>
        </w:rPr>
        <w:t>4</w:t>
      </w:r>
      <w:r w:rsidR="006D76F2">
        <w:rPr>
          <w:noProof/>
        </w:rPr>
        <w:fldChar w:fldCharType="end"/>
      </w:r>
      <w:bookmarkEnd w:id="6"/>
      <w:r>
        <w:t xml:space="preserve"> - MPDCCH to PUSCH timing relationship with </w:t>
      </w:r>
      <w:r w:rsidRPr="0031115D">
        <w:rPr>
          <w:i/>
          <w:iCs/>
        </w:rPr>
        <w:t>K</w:t>
      </w:r>
      <w:r w:rsidRPr="0031115D">
        <w:rPr>
          <w:i/>
          <w:iCs/>
          <w:vertAlign w:val="subscript"/>
        </w:rPr>
        <w:t>offset</w:t>
      </w:r>
      <w:r>
        <w:t xml:space="preserve"> applied</w:t>
      </w:r>
    </w:p>
    <w:p w14:paraId="1F525A17" w14:textId="42C264D5" w:rsidR="00465BE5" w:rsidRPr="00094F43" w:rsidRDefault="00465BE5" w:rsidP="00465BE5">
      <w:pPr>
        <w:pStyle w:val="Heading1"/>
        <w:spacing w:after="80"/>
        <w:jc w:val="left"/>
        <w:rPr>
          <w:sz w:val="24"/>
          <w:lang w:eastAsia="zh-CN"/>
        </w:rPr>
      </w:pPr>
      <w:r>
        <w:rPr>
          <w:sz w:val="24"/>
          <w:lang w:eastAsia="zh-CN"/>
        </w:rPr>
        <w:t>PDSCH to PUCCH timing relationship</w:t>
      </w:r>
    </w:p>
    <w:p w14:paraId="6FEAB8A0" w14:textId="0EE9BD49" w:rsidR="00134DB8" w:rsidRDefault="00134DB8" w:rsidP="00134DB8">
      <w:pPr>
        <w:rPr>
          <w:bCs/>
        </w:rPr>
      </w:pPr>
      <w:r>
        <w:rPr>
          <w:bCs/>
        </w:rPr>
        <w:t xml:space="preserve">The PDSCH to PUCCH timing relationship is a downlink to uplink timing relationship and a </w:t>
      </w:r>
      <w:r w:rsidRPr="0031115D">
        <w:rPr>
          <w:bCs/>
          <w:i/>
          <w:iCs/>
        </w:rPr>
        <w:t>K</w:t>
      </w:r>
      <w:r w:rsidRPr="0031115D">
        <w:rPr>
          <w:bCs/>
          <w:i/>
          <w:iCs/>
          <w:vertAlign w:val="subscript"/>
        </w:rPr>
        <w:t>offset</w:t>
      </w:r>
      <w:r>
        <w:rPr>
          <w:bCs/>
        </w:rPr>
        <w:t xml:space="preserve"> value needs to be applied to the PDSCH to PUCCH timing relationship.</w:t>
      </w:r>
    </w:p>
    <w:p w14:paraId="1AB9B27C" w14:textId="22AD61E7" w:rsidR="00134DB8" w:rsidRDefault="00134DB8" w:rsidP="00134DB8">
      <w:pPr>
        <w:rPr>
          <w:b/>
        </w:rPr>
      </w:pPr>
      <w:r w:rsidRPr="00FC2014">
        <w:rPr>
          <w:b/>
        </w:rPr>
        <w:t xml:space="preserve">Proposal </w:t>
      </w:r>
      <w:r w:rsidR="009C757A">
        <w:rPr>
          <w:b/>
        </w:rPr>
        <w:t>6:</w:t>
      </w:r>
      <w:r w:rsidRPr="00FC2014">
        <w:rPr>
          <w:b/>
        </w:rPr>
        <w:t xml:space="preserve"> </w:t>
      </w:r>
      <w:r>
        <w:rPr>
          <w:b/>
        </w:rPr>
        <w:t xml:space="preserve">The PDSCH to PUCCH timing relationship is extended by </w:t>
      </w:r>
      <w:r w:rsidRPr="000A6CE3">
        <w:rPr>
          <w:b/>
          <w:i/>
          <w:iCs/>
        </w:rPr>
        <w:t>K</w:t>
      </w:r>
      <w:r w:rsidRPr="000A6CE3">
        <w:rPr>
          <w:b/>
          <w:i/>
          <w:iCs/>
          <w:vertAlign w:val="subscript"/>
        </w:rPr>
        <w:t>offset</w:t>
      </w:r>
      <w:r>
        <w:rPr>
          <w:b/>
        </w:rPr>
        <w:t xml:space="preserve"> subframes</w:t>
      </w:r>
      <w:r w:rsidRPr="00FC2014">
        <w:rPr>
          <w:b/>
        </w:rPr>
        <w:t>.</w:t>
      </w:r>
    </w:p>
    <w:p w14:paraId="6101094D" w14:textId="40E1D69C" w:rsidR="00134DB8" w:rsidRPr="0031115D" w:rsidRDefault="00134DB8" w:rsidP="00134DB8">
      <w:pPr>
        <w:rPr>
          <w:bCs/>
        </w:rPr>
      </w:pPr>
      <w:r>
        <w:rPr>
          <w:bCs/>
        </w:rPr>
        <w:t xml:space="preserve">The timing relationship between MPDCCH and PUSCH when </w:t>
      </w:r>
      <w:r w:rsidRPr="0031115D">
        <w:rPr>
          <w:bCs/>
          <w:i/>
          <w:iCs/>
        </w:rPr>
        <w:t>K</w:t>
      </w:r>
      <w:r w:rsidRPr="0031115D">
        <w:rPr>
          <w:bCs/>
          <w:i/>
          <w:iCs/>
          <w:vertAlign w:val="subscript"/>
        </w:rPr>
        <w:t>offset</w:t>
      </w:r>
      <w:r>
        <w:rPr>
          <w:bCs/>
        </w:rPr>
        <w:t xml:space="preserve"> is applied is shown in </w:t>
      </w:r>
      <w:r>
        <w:rPr>
          <w:bCs/>
        </w:rPr>
        <w:fldChar w:fldCharType="begin"/>
      </w:r>
      <w:r>
        <w:rPr>
          <w:bCs/>
        </w:rPr>
        <w:instrText xml:space="preserve"> REF _Ref61913488 \h </w:instrText>
      </w:r>
      <w:r>
        <w:rPr>
          <w:bCs/>
        </w:rPr>
      </w:r>
      <w:r>
        <w:rPr>
          <w:bCs/>
        </w:rPr>
        <w:fldChar w:fldCharType="separate"/>
      </w:r>
      <w:r w:rsidR="00902934">
        <w:t xml:space="preserve">Figure </w:t>
      </w:r>
      <w:r w:rsidR="00902934">
        <w:rPr>
          <w:noProof/>
        </w:rPr>
        <w:t>3</w:t>
      </w:r>
      <w:r>
        <w:rPr>
          <w:bCs/>
        </w:rPr>
        <w:fldChar w:fldCharType="end"/>
      </w:r>
      <w:r>
        <w:rPr>
          <w:bCs/>
        </w:rPr>
        <w:t xml:space="preserve">. Note: for the sake of simplicity and clarity, the figure shows a smaller </w:t>
      </w:r>
      <w:r w:rsidRPr="0031115D">
        <w:rPr>
          <w:bCs/>
          <w:i/>
          <w:iCs/>
        </w:rPr>
        <w:t>K</w:t>
      </w:r>
      <w:r w:rsidRPr="0031115D">
        <w:rPr>
          <w:bCs/>
          <w:i/>
          <w:iCs/>
          <w:vertAlign w:val="subscript"/>
        </w:rPr>
        <w:t>offset</w:t>
      </w:r>
      <w:r>
        <w:rPr>
          <w:bCs/>
        </w:rPr>
        <w:t xml:space="preserve"> value than would be applied in a deployed IoT-NTN system.</w:t>
      </w:r>
    </w:p>
    <w:p w14:paraId="6F968034" w14:textId="09FDED01" w:rsidR="00902934" w:rsidRPr="00094F43" w:rsidRDefault="00902934" w:rsidP="00902934">
      <w:pPr>
        <w:pStyle w:val="Heading1"/>
        <w:spacing w:after="80"/>
        <w:jc w:val="left"/>
        <w:rPr>
          <w:sz w:val="24"/>
          <w:lang w:eastAsia="zh-CN"/>
        </w:rPr>
      </w:pPr>
      <w:r>
        <w:rPr>
          <w:sz w:val="24"/>
          <w:lang w:eastAsia="zh-CN"/>
        </w:rPr>
        <w:t>Allowing time for UE to perform a GNSS measurement</w:t>
      </w:r>
    </w:p>
    <w:p w14:paraId="29F1E6CF" w14:textId="3787CC58" w:rsidR="00902934" w:rsidRDefault="00902934" w:rsidP="00902934">
      <w:pPr>
        <w:rPr>
          <w:bCs/>
        </w:rPr>
      </w:pPr>
      <w:r>
        <w:rPr>
          <w:bCs/>
        </w:rPr>
        <w:t xml:space="preserve">A UE that is in a DRX / eDRX mode of operation monitors MPDCCH that </w:t>
      </w:r>
      <w:r w:rsidRPr="00947E9A">
        <w:rPr>
          <w:bCs/>
          <w:i/>
          <w:iCs/>
        </w:rPr>
        <w:t>may</w:t>
      </w:r>
      <w:r>
        <w:rPr>
          <w:bCs/>
        </w:rPr>
        <w:t xml:space="preserve"> allocate a PDSCH with an associated PUCCH. Since the UE does not know whether it will be scheduled or not, it is wasteful of battery resources if the UE has to have a valid GNSS measurement prior to the DRX_ON location just in case the UE is scheduled with DL data. It is hence preferable if the UE can make a GNSS measurement once it has received MPDCCH / PDSCH. Allowing time to perform a GNSS measurement would delay the transmission of the PUCCH that is associated with the MPDCCH / PDSCH. </w:t>
      </w:r>
    </w:p>
    <w:p w14:paraId="3024C164" w14:textId="1B176C2D" w:rsidR="00E361F2" w:rsidRDefault="00E361F2" w:rsidP="00902934">
      <w:pPr>
        <w:rPr>
          <w:bCs/>
        </w:rPr>
      </w:pPr>
      <w:r>
        <w:rPr>
          <w:bCs/>
        </w:rPr>
        <w:t xml:space="preserve">This scenario is illustrated in </w:t>
      </w:r>
      <w:r>
        <w:rPr>
          <w:bCs/>
        </w:rPr>
        <w:fldChar w:fldCharType="begin"/>
      </w:r>
      <w:r>
        <w:rPr>
          <w:bCs/>
        </w:rPr>
        <w:instrText xml:space="preserve"> REF _Ref61918092 \h </w:instrText>
      </w:r>
      <w:r>
        <w:rPr>
          <w:bCs/>
        </w:rPr>
      </w:r>
      <w:r>
        <w:rPr>
          <w:bCs/>
        </w:rPr>
        <w:fldChar w:fldCharType="separate"/>
      </w:r>
      <w:r>
        <w:t xml:space="preserve">Figure </w:t>
      </w:r>
      <w:r>
        <w:rPr>
          <w:noProof/>
        </w:rPr>
        <w:t>5</w:t>
      </w:r>
      <w:r>
        <w:rPr>
          <w:bCs/>
        </w:rPr>
        <w:fldChar w:fldCharType="end"/>
      </w:r>
      <w:r>
        <w:rPr>
          <w:bCs/>
        </w:rPr>
        <w:t xml:space="preserve">. The figure shows that at DRX_ON period “A”, the UE is not allocated MPDCCH / PDSCH. The UE did not make a GNSS measurement prior to “A” as it did not know </w:t>
      </w:r>
      <w:r>
        <w:rPr>
          <w:bCs/>
        </w:rPr>
        <w:lastRenderedPageBreak/>
        <w:t xml:space="preserve">whether it would be scheduled </w:t>
      </w:r>
      <w:r w:rsidR="00947E9A">
        <w:rPr>
          <w:bCs/>
        </w:rPr>
        <w:t xml:space="preserve">or not </w:t>
      </w:r>
      <w:r>
        <w:rPr>
          <w:bCs/>
        </w:rPr>
        <w:t xml:space="preserve">and by not making a GNSS measurement “just in case”, the UE did not unnecessarily use power. At DRX_ON period “B”, the UE is actually allocated PDSCH for which there is an associated PUCCH. Since the UE does not have a recent GNSS measurement, the UE delays transmission of the PUCCH by a time </w:t>
      </w:r>
      <w:r w:rsidRPr="00E361F2">
        <w:rPr>
          <w:rFonts w:ascii="Symbol" w:hAnsi="Symbol"/>
          <w:bCs/>
          <w:i/>
          <w:iCs/>
        </w:rPr>
        <w:t>D</w:t>
      </w:r>
      <w:r w:rsidRPr="00E361F2">
        <w:rPr>
          <w:bCs/>
          <w:i/>
          <w:iCs/>
        </w:rPr>
        <w:t>T</w:t>
      </w:r>
      <w:r w:rsidRPr="00E361F2">
        <w:rPr>
          <w:bCs/>
          <w:i/>
          <w:iCs/>
          <w:vertAlign w:val="subscript"/>
        </w:rPr>
        <w:t>2</w:t>
      </w:r>
      <w:r>
        <w:rPr>
          <w:bCs/>
        </w:rPr>
        <w:t xml:space="preserve"> in order to make a GNSS measurement. Based on the GNSS measurement, the UE is able to correctly timing advance and frequency compensate the PUCCH transmission.</w:t>
      </w:r>
    </w:p>
    <w:p w14:paraId="7E7672DD" w14:textId="7334155F" w:rsidR="00E361F2" w:rsidRDefault="00E361F2" w:rsidP="00902934">
      <w:pPr>
        <w:rPr>
          <w:bCs/>
        </w:rPr>
      </w:pPr>
      <w:r>
        <w:rPr>
          <w:bCs/>
        </w:rPr>
        <w:t>This figure shows the power saving that is possible in the power consumption profile at the base of the figure: the UE does not need to expend power making GNSS measurements before DRX_ON periods, such as “A” and “C” in which it is not scheduled.</w:t>
      </w:r>
    </w:p>
    <w:p w14:paraId="11D7453B" w14:textId="5C0B617A" w:rsidR="00902934" w:rsidRDefault="00E361F2" w:rsidP="00902934">
      <w:pPr>
        <w:rPr>
          <w:bCs/>
        </w:rPr>
      </w:pPr>
      <w:r>
        <w:rPr>
          <w:bCs/>
          <w:noProof/>
        </w:rPr>
        <w:drawing>
          <wp:inline distT="0" distB="0" distL="0" distR="0" wp14:anchorId="1EE0E1A1" wp14:editId="5D0FE04D">
            <wp:extent cx="5832721" cy="3670325"/>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52555" cy="3682806"/>
                    </a:xfrm>
                    <a:prstGeom prst="rect">
                      <a:avLst/>
                    </a:prstGeom>
                    <a:noFill/>
                  </pic:spPr>
                </pic:pic>
              </a:graphicData>
            </a:graphic>
          </wp:inline>
        </w:drawing>
      </w:r>
    </w:p>
    <w:p w14:paraId="663CC068" w14:textId="77815431" w:rsidR="00E361F2" w:rsidRDefault="00E361F2" w:rsidP="00E361F2">
      <w:pPr>
        <w:pStyle w:val="Caption"/>
        <w:rPr>
          <w:bCs w:val="0"/>
        </w:rPr>
      </w:pPr>
      <w:bookmarkStart w:id="7" w:name="_Ref61918092"/>
      <w:r>
        <w:t xml:space="preserve">Figure </w:t>
      </w:r>
      <w:r w:rsidR="006D76F2">
        <w:fldChar w:fldCharType="begin"/>
      </w:r>
      <w:r w:rsidR="006D76F2">
        <w:instrText xml:space="preserve"> SEQ Figure \* ARABIC </w:instrText>
      </w:r>
      <w:r w:rsidR="006D76F2">
        <w:fldChar w:fldCharType="separate"/>
      </w:r>
      <w:r>
        <w:rPr>
          <w:noProof/>
        </w:rPr>
        <w:t>5</w:t>
      </w:r>
      <w:r w:rsidR="006D76F2">
        <w:rPr>
          <w:noProof/>
        </w:rPr>
        <w:fldChar w:fldCharType="end"/>
      </w:r>
      <w:bookmarkEnd w:id="7"/>
      <w:r>
        <w:t xml:space="preserve"> - UE delays PUCCH transmission to perform GNSS measurement</w:t>
      </w:r>
    </w:p>
    <w:p w14:paraId="53B5BBFD" w14:textId="48016158" w:rsidR="00902934" w:rsidRDefault="00902934" w:rsidP="00902934">
      <w:pPr>
        <w:rPr>
          <w:bCs/>
        </w:rPr>
      </w:pPr>
      <w:r>
        <w:rPr>
          <w:bCs/>
        </w:rPr>
        <w:t>Hence, when the UE is scheduled and it does not have a valid GNSS measurement, the UE should be able to extend the timing relationship between PDSCH and PUCCH by a time that is sufficient to perform a GNSS measurement.</w:t>
      </w:r>
    </w:p>
    <w:p w14:paraId="4226A2D7" w14:textId="5AABEF09" w:rsidR="00902934" w:rsidRDefault="00902934" w:rsidP="00902934">
      <w:pPr>
        <w:rPr>
          <w:b/>
        </w:rPr>
      </w:pPr>
      <w:r w:rsidRPr="00FC2014">
        <w:rPr>
          <w:b/>
        </w:rPr>
        <w:t xml:space="preserve">Proposal </w:t>
      </w:r>
      <w:r w:rsidR="009C757A">
        <w:rPr>
          <w:b/>
        </w:rPr>
        <w:t>7:</w:t>
      </w:r>
      <w:r w:rsidRPr="00FC2014">
        <w:rPr>
          <w:b/>
        </w:rPr>
        <w:t xml:space="preserve"> </w:t>
      </w:r>
      <w:r>
        <w:rPr>
          <w:b/>
        </w:rPr>
        <w:t>When the UE is scheduled PDSCH and does not have a valid GNSS measurement, the timing relationship between PDSCH and PUCCH is extended by a time that is sufficient to perform a GNSS measurement</w:t>
      </w:r>
      <w:r w:rsidRPr="00FC2014">
        <w:rPr>
          <w:b/>
        </w:rPr>
        <w:t>.</w:t>
      </w:r>
    </w:p>
    <w:p w14:paraId="78DB18E0" w14:textId="002FCED8" w:rsidR="762EC356" w:rsidRPr="00F70DDC" w:rsidRDefault="762EC356" w:rsidP="00CD168F">
      <w:pPr>
        <w:pStyle w:val="Caption"/>
        <w:jc w:val="left"/>
      </w:pPr>
    </w:p>
    <w:p w14:paraId="3FC55F81" w14:textId="105FBB25" w:rsidR="00CE1213" w:rsidRPr="00094F43" w:rsidRDefault="00094F43" w:rsidP="00387C77">
      <w:pPr>
        <w:pStyle w:val="Heading1"/>
        <w:spacing w:after="80"/>
        <w:jc w:val="left"/>
        <w:rPr>
          <w:sz w:val="24"/>
          <w:szCs w:val="24"/>
          <w:lang w:eastAsia="zh-CN"/>
        </w:rPr>
      </w:pPr>
      <w:bookmarkStart w:id="8" w:name="_Hlk47387515"/>
      <w:r w:rsidRPr="5DEF72DC">
        <w:rPr>
          <w:sz w:val="24"/>
          <w:szCs w:val="24"/>
          <w:lang w:eastAsia="zh-CN"/>
        </w:rPr>
        <w:t>Conclusions</w:t>
      </w:r>
    </w:p>
    <w:p w14:paraId="2D7DE78E" w14:textId="1113ECA4" w:rsidR="00E25E48" w:rsidRDefault="009C757A" w:rsidP="00E25E48">
      <w:pPr>
        <w:rPr>
          <w:bCs/>
        </w:rPr>
      </w:pPr>
      <w:r>
        <w:rPr>
          <w:bCs/>
        </w:rPr>
        <w:t>This document has considered the timing relationship enhancements that are required for IoT-NTN. The document makes the following proposals:</w:t>
      </w:r>
    </w:p>
    <w:p w14:paraId="2A897257" w14:textId="77777777" w:rsidR="009C757A" w:rsidRPr="00FC2014" w:rsidRDefault="009C757A" w:rsidP="009C757A">
      <w:pPr>
        <w:rPr>
          <w:b/>
        </w:rPr>
      </w:pPr>
      <w:r w:rsidRPr="00FC2014">
        <w:rPr>
          <w:b/>
        </w:rPr>
        <w:t xml:space="preserve">Proposal </w:t>
      </w:r>
      <w:r>
        <w:rPr>
          <w:b/>
        </w:rPr>
        <w:t>1:</w:t>
      </w:r>
      <w:r w:rsidRPr="00FC2014">
        <w:rPr>
          <w:b/>
        </w:rPr>
        <w:t xml:space="preserve"> The timing relationship between certain physical channels is extended by </w:t>
      </w:r>
      <w:r w:rsidRPr="00FC2014">
        <w:rPr>
          <w:b/>
          <w:i/>
          <w:iCs/>
        </w:rPr>
        <w:t>K</w:t>
      </w:r>
      <w:r w:rsidRPr="00FC2014">
        <w:rPr>
          <w:b/>
          <w:i/>
          <w:iCs/>
          <w:vertAlign w:val="subscript"/>
        </w:rPr>
        <w:t>offset</w:t>
      </w:r>
      <w:r w:rsidRPr="00FC2014">
        <w:rPr>
          <w:b/>
        </w:rPr>
        <w:t xml:space="preserve"> subframes in order to enable operation in IoT-NTN cells with large propagation delays.</w:t>
      </w:r>
    </w:p>
    <w:p w14:paraId="49AACC28" w14:textId="77777777" w:rsidR="009C757A" w:rsidRDefault="009C757A" w:rsidP="009C757A">
      <w:pPr>
        <w:rPr>
          <w:b/>
        </w:rPr>
      </w:pPr>
      <w:r w:rsidRPr="00FC2014">
        <w:rPr>
          <w:b/>
        </w:rPr>
        <w:t xml:space="preserve">Proposal </w:t>
      </w:r>
      <w:r>
        <w:rPr>
          <w:b/>
        </w:rPr>
        <w:t>2:</w:t>
      </w:r>
      <w:r w:rsidRPr="00FC2014">
        <w:rPr>
          <w:b/>
        </w:rPr>
        <w:t xml:space="preserve"> </w:t>
      </w:r>
      <w:r>
        <w:rPr>
          <w:b/>
        </w:rPr>
        <w:t xml:space="preserve">RAN1 selects between the following options for determining </w:t>
      </w:r>
      <w:r w:rsidRPr="009C757A">
        <w:rPr>
          <w:b/>
          <w:i/>
          <w:iCs/>
        </w:rPr>
        <w:t>K</w:t>
      </w:r>
      <w:r w:rsidRPr="009C757A">
        <w:rPr>
          <w:b/>
          <w:i/>
          <w:iCs/>
          <w:vertAlign w:val="subscript"/>
        </w:rPr>
        <w:t>offset</w:t>
      </w:r>
      <w:r>
        <w:rPr>
          <w:b/>
        </w:rPr>
        <w:t>:</w:t>
      </w:r>
    </w:p>
    <w:p w14:paraId="3866E755" w14:textId="77777777" w:rsidR="009C757A" w:rsidRPr="009C757A" w:rsidRDefault="009C757A" w:rsidP="00F72FDA">
      <w:pPr>
        <w:pStyle w:val="ListParagraph"/>
        <w:numPr>
          <w:ilvl w:val="0"/>
          <w:numId w:val="8"/>
        </w:numPr>
        <w:rPr>
          <w:rFonts w:ascii="Times New Roman" w:hAnsi="Times New Roman" w:cs="Times New Roman"/>
          <w:b/>
        </w:rPr>
      </w:pPr>
      <w:r w:rsidRPr="009C757A">
        <w:rPr>
          <w:rFonts w:ascii="Times New Roman" w:hAnsi="Times New Roman" w:cs="Times New Roman"/>
          <w:b/>
          <w:i/>
          <w:iCs/>
        </w:rPr>
        <w:t>K</w:t>
      </w:r>
      <w:r w:rsidRPr="009C757A">
        <w:rPr>
          <w:rFonts w:ascii="Times New Roman" w:hAnsi="Times New Roman" w:cs="Times New Roman"/>
          <w:b/>
          <w:i/>
          <w:iCs/>
          <w:vertAlign w:val="subscript"/>
        </w:rPr>
        <w:t>offset</w:t>
      </w:r>
      <w:r w:rsidRPr="009C757A">
        <w:rPr>
          <w:rFonts w:ascii="Times New Roman" w:hAnsi="Times New Roman" w:cs="Times New Roman"/>
          <w:b/>
        </w:rPr>
        <w:t xml:space="preserve"> is explicitly signaled to the UE</w:t>
      </w:r>
    </w:p>
    <w:p w14:paraId="31CC24F0" w14:textId="77777777" w:rsidR="007B25DD" w:rsidRPr="007B25DD" w:rsidRDefault="007B25DD" w:rsidP="007B25DD">
      <w:pPr>
        <w:pStyle w:val="ListParagraph"/>
        <w:numPr>
          <w:ilvl w:val="0"/>
          <w:numId w:val="8"/>
        </w:numPr>
        <w:rPr>
          <w:rFonts w:ascii="Times New Roman" w:eastAsia="Times New Roman" w:hAnsi="Times New Roman" w:cs="Times New Roman"/>
          <w:b/>
          <w:bCs/>
          <w:lang w:val="en-GB" w:eastAsia="ja-JP"/>
        </w:rPr>
      </w:pPr>
      <w:r w:rsidRPr="007B25DD">
        <w:rPr>
          <w:rFonts w:ascii="Times New Roman" w:eastAsia="Times New Roman" w:hAnsi="Times New Roman" w:cs="Times New Roman"/>
          <w:b/>
          <w:bCs/>
          <w:lang w:val="en-GB" w:eastAsia="ja-JP"/>
        </w:rPr>
        <w:t xml:space="preserve">UE implicitly determines </w:t>
      </w:r>
      <w:r w:rsidRPr="007B25DD">
        <w:rPr>
          <w:rFonts w:ascii="Times New Roman" w:eastAsia="Times New Roman" w:hAnsi="Times New Roman" w:cs="Times New Roman"/>
          <w:b/>
          <w:bCs/>
          <w:i/>
          <w:iCs/>
          <w:lang w:val="en-GB" w:eastAsia="ja-JP"/>
        </w:rPr>
        <w:t>K</w:t>
      </w:r>
      <w:r w:rsidRPr="007B25DD">
        <w:rPr>
          <w:rFonts w:ascii="Times New Roman" w:eastAsia="Times New Roman" w:hAnsi="Times New Roman" w:cs="Times New Roman"/>
          <w:b/>
          <w:bCs/>
          <w:i/>
          <w:iCs/>
          <w:vertAlign w:val="subscript"/>
          <w:lang w:val="en-GB" w:eastAsia="ja-JP"/>
        </w:rPr>
        <w:t>offset</w:t>
      </w:r>
      <w:r w:rsidRPr="007B25DD">
        <w:rPr>
          <w:rFonts w:ascii="Times New Roman" w:eastAsia="Times New Roman" w:hAnsi="Times New Roman" w:cs="Times New Roman"/>
          <w:b/>
          <w:bCs/>
          <w:lang w:val="en-GB" w:eastAsia="ja-JP"/>
        </w:rPr>
        <w:t xml:space="preserve"> value based on other cell parameters, such as a common timing offset if broadcasted by the eNB</w:t>
      </w:r>
    </w:p>
    <w:p w14:paraId="5EC588AF" w14:textId="0EA38258" w:rsidR="009C757A" w:rsidRPr="009C757A" w:rsidRDefault="009C757A" w:rsidP="007B25DD">
      <w:pPr>
        <w:pStyle w:val="ListParagraph"/>
        <w:rPr>
          <w:rFonts w:ascii="Times New Roman" w:hAnsi="Times New Roman" w:cs="Times New Roman"/>
          <w:b/>
        </w:rPr>
      </w:pPr>
    </w:p>
    <w:p w14:paraId="446A0A79" w14:textId="77777777" w:rsidR="009C757A" w:rsidRDefault="009C757A" w:rsidP="00E25E48">
      <w:pPr>
        <w:rPr>
          <w:bCs/>
        </w:rPr>
      </w:pPr>
    </w:p>
    <w:bookmarkEnd w:id="8"/>
    <w:p w14:paraId="042BCD70" w14:textId="77777777" w:rsidR="009C757A" w:rsidRPr="00FC2014" w:rsidRDefault="009C757A" w:rsidP="009C757A">
      <w:pPr>
        <w:rPr>
          <w:b/>
        </w:rPr>
      </w:pPr>
      <w:r w:rsidRPr="00FC2014">
        <w:rPr>
          <w:b/>
        </w:rPr>
        <w:t xml:space="preserve">Proposal </w:t>
      </w:r>
      <w:r>
        <w:rPr>
          <w:b/>
        </w:rPr>
        <w:t>3:</w:t>
      </w:r>
      <w:r w:rsidRPr="00FC2014">
        <w:rPr>
          <w:b/>
        </w:rPr>
        <w:t xml:space="preserve"> </w:t>
      </w:r>
      <w:r>
        <w:rPr>
          <w:b/>
        </w:rPr>
        <w:t>The legacy Rel-16 timing relationship is applied between MPDCCH and PDSCH</w:t>
      </w:r>
      <w:r w:rsidRPr="00FC2014">
        <w:rPr>
          <w:b/>
        </w:rPr>
        <w:t>.</w:t>
      </w:r>
    </w:p>
    <w:p w14:paraId="0F12D525" w14:textId="77777777" w:rsidR="009C757A" w:rsidRDefault="009C757A" w:rsidP="009C757A">
      <w:pPr>
        <w:rPr>
          <w:b/>
        </w:rPr>
      </w:pPr>
      <w:r w:rsidRPr="00FC2014">
        <w:rPr>
          <w:b/>
        </w:rPr>
        <w:t xml:space="preserve">Proposal </w:t>
      </w:r>
      <w:r>
        <w:rPr>
          <w:b/>
        </w:rPr>
        <w:t>4:</w:t>
      </w:r>
      <w:r w:rsidRPr="00FC2014">
        <w:rPr>
          <w:b/>
        </w:rPr>
        <w:t xml:space="preserve"> </w:t>
      </w:r>
      <w:r>
        <w:rPr>
          <w:b/>
        </w:rPr>
        <w:t xml:space="preserve">The MPDCCH to PUSCH timing relationship is extended by </w:t>
      </w:r>
      <w:r w:rsidRPr="000A6CE3">
        <w:rPr>
          <w:b/>
          <w:i/>
          <w:iCs/>
        </w:rPr>
        <w:t>K</w:t>
      </w:r>
      <w:r w:rsidRPr="000A6CE3">
        <w:rPr>
          <w:b/>
          <w:i/>
          <w:iCs/>
          <w:vertAlign w:val="subscript"/>
        </w:rPr>
        <w:t>offset</w:t>
      </w:r>
      <w:r>
        <w:rPr>
          <w:b/>
        </w:rPr>
        <w:t xml:space="preserve"> subframes</w:t>
      </w:r>
      <w:r w:rsidRPr="00FC2014">
        <w:rPr>
          <w:b/>
        </w:rPr>
        <w:t>.</w:t>
      </w:r>
    </w:p>
    <w:p w14:paraId="593F9EE7" w14:textId="77777777" w:rsidR="009C757A" w:rsidRPr="00134DB8" w:rsidRDefault="009C757A" w:rsidP="009C757A">
      <w:pPr>
        <w:rPr>
          <w:b/>
        </w:rPr>
      </w:pPr>
      <w:r w:rsidRPr="00FC2014">
        <w:rPr>
          <w:b/>
        </w:rPr>
        <w:t xml:space="preserve">Proposal </w:t>
      </w:r>
      <w:r>
        <w:rPr>
          <w:b/>
        </w:rPr>
        <w:t>5:</w:t>
      </w:r>
      <w:r w:rsidRPr="00FC2014">
        <w:rPr>
          <w:b/>
        </w:rPr>
        <w:t xml:space="preserve"> </w:t>
      </w:r>
      <w:r>
        <w:rPr>
          <w:b/>
        </w:rPr>
        <w:t xml:space="preserve">The RAR to PUSCH timing relationship is extended by </w:t>
      </w:r>
      <w:r w:rsidRPr="000A6CE3">
        <w:rPr>
          <w:b/>
          <w:i/>
          <w:iCs/>
        </w:rPr>
        <w:t>K</w:t>
      </w:r>
      <w:r w:rsidRPr="000A6CE3">
        <w:rPr>
          <w:b/>
          <w:i/>
          <w:iCs/>
          <w:vertAlign w:val="subscript"/>
        </w:rPr>
        <w:t>offset</w:t>
      </w:r>
      <w:r>
        <w:rPr>
          <w:b/>
        </w:rPr>
        <w:t xml:space="preserve"> subframes</w:t>
      </w:r>
      <w:r w:rsidRPr="00FC2014">
        <w:rPr>
          <w:b/>
        </w:rPr>
        <w:t>.</w:t>
      </w:r>
    </w:p>
    <w:p w14:paraId="1FFE7197" w14:textId="77777777" w:rsidR="009C757A" w:rsidRDefault="009C757A" w:rsidP="009C757A">
      <w:pPr>
        <w:rPr>
          <w:b/>
        </w:rPr>
      </w:pPr>
      <w:r w:rsidRPr="00FC2014">
        <w:rPr>
          <w:b/>
        </w:rPr>
        <w:t xml:space="preserve">Proposal </w:t>
      </w:r>
      <w:r>
        <w:rPr>
          <w:b/>
        </w:rPr>
        <w:t>6:</w:t>
      </w:r>
      <w:r w:rsidRPr="00FC2014">
        <w:rPr>
          <w:b/>
        </w:rPr>
        <w:t xml:space="preserve"> </w:t>
      </w:r>
      <w:r>
        <w:rPr>
          <w:b/>
        </w:rPr>
        <w:t xml:space="preserve">The PDSCH to PUCCH timing relationship is extended by </w:t>
      </w:r>
      <w:r w:rsidRPr="000A6CE3">
        <w:rPr>
          <w:b/>
          <w:i/>
          <w:iCs/>
        </w:rPr>
        <w:t>K</w:t>
      </w:r>
      <w:r w:rsidRPr="000A6CE3">
        <w:rPr>
          <w:b/>
          <w:i/>
          <w:iCs/>
          <w:vertAlign w:val="subscript"/>
        </w:rPr>
        <w:t>offset</w:t>
      </w:r>
      <w:r>
        <w:rPr>
          <w:b/>
        </w:rPr>
        <w:t xml:space="preserve"> subframes</w:t>
      </w:r>
      <w:r w:rsidRPr="00FC2014">
        <w:rPr>
          <w:b/>
        </w:rPr>
        <w:t>.</w:t>
      </w:r>
    </w:p>
    <w:p w14:paraId="7B6B66BF" w14:textId="77777777" w:rsidR="009C757A" w:rsidRDefault="009C757A" w:rsidP="009C757A">
      <w:pPr>
        <w:rPr>
          <w:b/>
        </w:rPr>
      </w:pPr>
      <w:r w:rsidRPr="00FC2014">
        <w:rPr>
          <w:b/>
        </w:rPr>
        <w:t xml:space="preserve">Proposal </w:t>
      </w:r>
      <w:r>
        <w:rPr>
          <w:b/>
        </w:rPr>
        <w:t>7:</w:t>
      </w:r>
      <w:r w:rsidRPr="00FC2014">
        <w:rPr>
          <w:b/>
        </w:rPr>
        <w:t xml:space="preserve"> </w:t>
      </w:r>
      <w:r>
        <w:rPr>
          <w:b/>
        </w:rPr>
        <w:t>When the UE is scheduled PDSCH and does not have a valid GNSS measurement, the timing relationship between PDSCH and PUCCH is extended by a time that is sufficient to perform a GNSS measurement</w:t>
      </w:r>
      <w:r w:rsidRPr="00FC2014">
        <w:rPr>
          <w:b/>
        </w:rPr>
        <w:t>.</w:t>
      </w:r>
    </w:p>
    <w:p w14:paraId="0A79D422" w14:textId="30E361CA" w:rsidR="002A66B3" w:rsidRDefault="002A66B3" w:rsidP="002A66B3">
      <w:pPr>
        <w:rPr>
          <w:bCs/>
        </w:rPr>
      </w:pPr>
    </w:p>
    <w:p w14:paraId="41B287EA" w14:textId="77777777" w:rsidR="00D145ED" w:rsidRDefault="00D145ED" w:rsidP="00E25E48">
      <w:pPr>
        <w:rPr>
          <w:b/>
        </w:rPr>
      </w:pPr>
    </w:p>
    <w:p w14:paraId="1A7ED4E3" w14:textId="41A90516" w:rsidR="002348EF" w:rsidRDefault="002348EF" w:rsidP="002348EF">
      <w:pPr>
        <w:pStyle w:val="Heading1"/>
        <w:spacing w:after="80"/>
        <w:jc w:val="left"/>
        <w:rPr>
          <w:sz w:val="24"/>
          <w:szCs w:val="24"/>
          <w:lang w:eastAsia="zh-CN"/>
        </w:rPr>
      </w:pPr>
      <w:r w:rsidRPr="5DEF72DC">
        <w:rPr>
          <w:sz w:val="24"/>
          <w:szCs w:val="24"/>
          <w:lang w:eastAsia="zh-CN"/>
        </w:rPr>
        <w:t>Reference</w:t>
      </w:r>
      <w:r w:rsidR="00E25E48" w:rsidRPr="5DEF72DC">
        <w:rPr>
          <w:sz w:val="24"/>
          <w:szCs w:val="24"/>
          <w:lang w:eastAsia="zh-CN"/>
        </w:rPr>
        <w:t>s</w:t>
      </w:r>
    </w:p>
    <w:p w14:paraId="36D43953" w14:textId="59346BC1" w:rsidR="000E3469" w:rsidRDefault="000E3469" w:rsidP="00F72FDA">
      <w:pPr>
        <w:pStyle w:val="ListParagraph"/>
        <w:numPr>
          <w:ilvl w:val="0"/>
          <w:numId w:val="6"/>
        </w:numPr>
        <w:ind w:left="426" w:hanging="426"/>
        <w:rPr>
          <w:rFonts w:ascii="Times New Roman" w:hAnsi="Times New Roman" w:cs="Times New Roman"/>
        </w:rPr>
      </w:pPr>
      <w:bookmarkStart w:id="9" w:name="_Ref40204599"/>
      <w:r>
        <w:rPr>
          <w:rFonts w:ascii="Times New Roman" w:hAnsi="Times New Roman" w:cs="Times New Roman"/>
        </w:rPr>
        <w:t>RP-</w:t>
      </w:r>
      <w:r w:rsidR="00760196">
        <w:rPr>
          <w:rFonts w:ascii="Times New Roman" w:hAnsi="Times New Roman" w:cs="Times New Roman"/>
        </w:rPr>
        <w:t>193235</w:t>
      </w:r>
      <w:r w:rsidR="00E83756">
        <w:rPr>
          <w:rFonts w:ascii="Times New Roman" w:hAnsi="Times New Roman" w:cs="Times New Roman"/>
        </w:rPr>
        <w:t>.</w:t>
      </w:r>
      <w:r>
        <w:rPr>
          <w:rFonts w:ascii="Times New Roman" w:hAnsi="Times New Roman" w:cs="Times New Roman"/>
        </w:rPr>
        <w:t xml:space="preserve"> </w:t>
      </w:r>
      <w:bookmarkEnd w:id="9"/>
      <w:r w:rsidR="00725F3D">
        <w:rPr>
          <w:rFonts w:ascii="Times New Roman" w:hAnsi="Times New Roman" w:cs="Times New Roman"/>
        </w:rPr>
        <w:t>“</w:t>
      </w:r>
      <w:r w:rsidR="00760196">
        <w:rPr>
          <w:rFonts w:ascii="Times New Roman" w:hAnsi="Times New Roman" w:cs="Times New Roman"/>
        </w:rPr>
        <w:t>Study on NB-IoT / eMTC support for Non-Terrestrial Network</w:t>
      </w:r>
      <w:r w:rsidR="00415931">
        <w:rPr>
          <w:rFonts w:ascii="Times New Roman" w:hAnsi="Times New Roman" w:cs="Times New Roman"/>
        </w:rPr>
        <w:t>”</w:t>
      </w:r>
      <w:r w:rsidR="00CA3ADA">
        <w:rPr>
          <w:rFonts w:ascii="Times New Roman" w:hAnsi="Times New Roman" w:cs="Times New Roman"/>
        </w:rPr>
        <w:t>. RANP#</w:t>
      </w:r>
      <w:r w:rsidR="00760196">
        <w:rPr>
          <w:rFonts w:ascii="Times New Roman" w:hAnsi="Times New Roman" w:cs="Times New Roman"/>
        </w:rPr>
        <w:t>86</w:t>
      </w:r>
      <w:r w:rsidR="00CA3ADA">
        <w:rPr>
          <w:rFonts w:ascii="Times New Roman" w:hAnsi="Times New Roman" w:cs="Times New Roman"/>
        </w:rPr>
        <w:t>.</w:t>
      </w:r>
      <w:r w:rsidR="00760196">
        <w:rPr>
          <w:rFonts w:ascii="Times New Roman" w:hAnsi="Times New Roman" w:cs="Times New Roman"/>
        </w:rPr>
        <w:t xml:space="preserve"> Sitges, Spain</w:t>
      </w:r>
      <w:r w:rsidR="00CA3ADA">
        <w:rPr>
          <w:rFonts w:ascii="Times New Roman" w:hAnsi="Times New Roman" w:cs="Times New Roman"/>
        </w:rPr>
        <w:t>.</w:t>
      </w:r>
      <w:r w:rsidR="00760196">
        <w:rPr>
          <w:rFonts w:ascii="Times New Roman" w:hAnsi="Times New Roman" w:cs="Times New Roman"/>
        </w:rPr>
        <w:t xml:space="preserve"> December 2019.</w:t>
      </w:r>
    </w:p>
    <w:p w14:paraId="270CD4F3" w14:textId="21C6504A" w:rsidR="00995C65" w:rsidRDefault="00995C65" w:rsidP="00F72FDA">
      <w:pPr>
        <w:pStyle w:val="ListParagraph"/>
        <w:numPr>
          <w:ilvl w:val="0"/>
          <w:numId w:val="6"/>
        </w:numPr>
        <w:ind w:left="426" w:hanging="426"/>
        <w:rPr>
          <w:rFonts w:ascii="Times New Roman" w:hAnsi="Times New Roman" w:cs="Times New Roman"/>
        </w:rPr>
      </w:pPr>
      <w:bookmarkStart w:id="10" w:name="_Ref54298530"/>
      <w:r w:rsidRPr="00995C65">
        <w:rPr>
          <w:rFonts w:ascii="Times New Roman" w:hAnsi="Times New Roman" w:cs="Times New Roman"/>
        </w:rPr>
        <w:t>3GPP TR 38.821, Solutions for NR to support non-terrestrial networks (NTN), V16.0.0.</w:t>
      </w:r>
      <w:bookmarkEnd w:id="10"/>
    </w:p>
    <w:p w14:paraId="4564D851" w14:textId="0BBE950A" w:rsidR="006959BA" w:rsidRDefault="006959BA" w:rsidP="006959BA"/>
    <w:p w14:paraId="29685921" w14:textId="77777777" w:rsidR="006959BA" w:rsidRPr="006959BA" w:rsidRDefault="006959BA" w:rsidP="006959BA"/>
    <w:sectPr w:rsidR="006959BA" w:rsidRPr="006959BA" w:rsidSect="00DA1C31">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8B8E6" w16cex:dateUtc="2020-10-23T08:08:54.55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D97CA" w14:textId="77777777" w:rsidR="006D76F2" w:rsidRDefault="006D76F2">
      <w:r>
        <w:separator/>
      </w:r>
    </w:p>
  </w:endnote>
  <w:endnote w:type="continuationSeparator" w:id="0">
    <w:p w14:paraId="1AA6ED08" w14:textId="77777777" w:rsidR="006D76F2" w:rsidRDefault="006D76F2">
      <w:r>
        <w:continuationSeparator/>
      </w:r>
    </w:p>
  </w:endnote>
  <w:endnote w:type="continuationNotice" w:id="1">
    <w:p w14:paraId="7EEA4686" w14:textId="77777777" w:rsidR="006D76F2" w:rsidRDefault="006D7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4E01C" w14:textId="77777777" w:rsidR="006D76F2" w:rsidRDefault="006D76F2">
      <w:r>
        <w:separator/>
      </w:r>
    </w:p>
  </w:footnote>
  <w:footnote w:type="continuationSeparator" w:id="0">
    <w:p w14:paraId="79E1CA84" w14:textId="77777777" w:rsidR="006D76F2" w:rsidRDefault="006D76F2">
      <w:r>
        <w:continuationSeparator/>
      </w:r>
    </w:p>
  </w:footnote>
  <w:footnote w:type="continuationNotice" w:id="1">
    <w:p w14:paraId="6E62AEDC" w14:textId="77777777" w:rsidR="006D76F2" w:rsidRDefault="006D76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6F766EA"/>
    <w:multiLevelType w:val="hybridMultilevel"/>
    <w:tmpl w:val="CF50C434"/>
    <w:lvl w:ilvl="0" w:tplc="F686FD18">
      <w:start w:val="3"/>
      <w:numFmt w:val="bullet"/>
      <w:lvlText w:val="-"/>
      <w:lvlJc w:val="left"/>
      <w:pPr>
        <w:ind w:left="720" w:hanging="360"/>
      </w:pPr>
      <w:rPr>
        <w:rFonts w:ascii="Times New Roman" w:eastAsiaTheme="minorEastAsia"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4"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5" w15:restartNumberingAfterBreak="0">
    <w:nsid w:val="5678028D"/>
    <w:multiLevelType w:val="hybridMultilevel"/>
    <w:tmpl w:val="2AB01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7"/>
  </w:num>
  <w:num w:numId="4">
    <w:abstractNumId w:val="4"/>
  </w:num>
  <w:num w:numId="5">
    <w:abstractNumId w:val="6"/>
  </w:num>
  <w:num w:numId="6">
    <w:abstractNumId w:val="0"/>
  </w:num>
  <w:num w:numId="7">
    <w:abstractNumId w:val="5"/>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A63"/>
    <w:rsid w:val="00047C47"/>
    <w:rsid w:val="00047D14"/>
    <w:rsid w:val="00047E60"/>
    <w:rsid w:val="00047FDE"/>
    <w:rsid w:val="000502C3"/>
    <w:rsid w:val="000504E6"/>
    <w:rsid w:val="00050D0F"/>
    <w:rsid w:val="000513CF"/>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6CE3"/>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4DB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05B"/>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2E3"/>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5D"/>
    <w:rsid w:val="00311161"/>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89"/>
    <w:rsid w:val="003C73FA"/>
    <w:rsid w:val="003C7678"/>
    <w:rsid w:val="003C784F"/>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5BE5"/>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7098"/>
    <w:rsid w:val="00527200"/>
    <w:rsid w:val="00527504"/>
    <w:rsid w:val="00530157"/>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6F2"/>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8DA"/>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3091"/>
    <w:rsid w:val="0079323D"/>
    <w:rsid w:val="00793539"/>
    <w:rsid w:val="00793985"/>
    <w:rsid w:val="00793AC7"/>
    <w:rsid w:val="007943DA"/>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5DD"/>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8C3"/>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9CE"/>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934"/>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BFB"/>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47E9A"/>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07"/>
    <w:rsid w:val="00991F2C"/>
    <w:rsid w:val="00991FF6"/>
    <w:rsid w:val="00992286"/>
    <w:rsid w:val="00992B98"/>
    <w:rsid w:val="0099307F"/>
    <w:rsid w:val="0099353A"/>
    <w:rsid w:val="0099359F"/>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C757A"/>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422"/>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3D5"/>
    <w:rsid w:val="00A90A50"/>
    <w:rsid w:val="00A90E4F"/>
    <w:rsid w:val="00A90E72"/>
    <w:rsid w:val="00A922A2"/>
    <w:rsid w:val="00A9291A"/>
    <w:rsid w:val="00A9327B"/>
    <w:rsid w:val="00A9328F"/>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4D79"/>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50AA"/>
    <w:rsid w:val="00BD5135"/>
    <w:rsid w:val="00BD521A"/>
    <w:rsid w:val="00BD5C52"/>
    <w:rsid w:val="00BD61DB"/>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3E8"/>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1F2"/>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FF"/>
    <w:rsid w:val="00EB50F7"/>
    <w:rsid w:val="00EB5476"/>
    <w:rsid w:val="00EB54AB"/>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ACF"/>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574"/>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2FDA"/>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014"/>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7E6"/>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5163388">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d268088c54d34feb"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361039A-83D4-4209-ADEE-0070CC640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A8E580-05BC-4A1B-82E5-72F7164A60D3}">
  <ds:schemaRefs>
    <ds:schemaRef ds:uri="http://schemas.openxmlformats.org/officeDocument/2006/bibliography"/>
  </ds:schemaRefs>
</ds:datastoreItem>
</file>

<file path=customXml/itemProps4.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5.xml><?xml version="1.0" encoding="utf-8"?>
<ds:datastoreItem xmlns:ds="http://schemas.openxmlformats.org/officeDocument/2006/customXml" ds:itemID="{78DEDCE6-3FEC-4094-BD24-A6F9E5C08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1059</TotalTime>
  <Pages>6</Pages>
  <Words>1638</Words>
  <Characters>9343</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10960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356</cp:revision>
  <cp:lastPrinted>2016-05-14T13:14:00Z</cp:lastPrinted>
  <dcterms:created xsi:type="dcterms:W3CDTF">2020-10-21T07:57:00Z</dcterms:created>
  <dcterms:modified xsi:type="dcterms:W3CDTF">2021-01-19T04:50:00Z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